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8AE8" w14:textId="50212F72" w:rsidR="00A045D2" w:rsidRDefault="00341355" w:rsidP="00B40CCD">
      <w:pPr>
        <w:pStyle w:val="Covertitle"/>
      </w:pPr>
      <w:r>
        <w:t>North East Flexible Learning Network Enrolment Policy</w:t>
      </w:r>
    </w:p>
    <w:p w14:paraId="6281EBCB" w14:textId="77777777" w:rsidR="00282DF8" w:rsidRPr="00D12C0B" w:rsidRDefault="00282DF8" w:rsidP="00282DF8">
      <w:pPr>
        <w:spacing w:after="0" w:line="240" w:lineRule="auto"/>
        <w:rPr>
          <w:rFonts w:ascii="Calibri" w:hAnsi="Calibri" w:cs="Calibri"/>
        </w:rPr>
      </w:pPr>
    </w:p>
    <w:p w14:paraId="2D3FBDC3" w14:textId="77777777" w:rsidR="00282DF8" w:rsidRPr="005F62B2" w:rsidRDefault="00282DF8" w:rsidP="00282DF8">
      <w:pPr>
        <w:rPr>
          <w:b/>
          <w:bCs/>
        </w:rPr>
      </w:pPr>
      <w:r w:rsidRPr="005F62B2">
        <w:rPr>
          <w:noProof/>
          <w:lang w:eastAsia="en-AU"/>
        </w:rPr>
        <w:drawing>
          <wp:anchor distT="0" distB="0" distL="114300" distR="114300" simplePos="0" relativeHeight="251659264" behindDoc="0" locked="0" layoutInCell="1" allowOverlap="1" wp14:anchorId="4FA47FE9" wp14:editId="74CBE6A8">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2B2">
        <w:rPr>
          <w:b/>
          <w:bCs/>
        </w:rPr>
        <w:t>Help for non-English speakers</w:t>
      </w:r>
    </w:p>
    <w:p w14:paraId="015FB4B7" w14:textId="77777777" w:rsidR="00282DF8" w:rsidRPr="005F62B2" w:rsidRDefault="00282DF8" w:rsidP="00282DF8">
      <w:pPr>
        <w:rPr>
          <w:b/>
          <w:bCs/>
        </w:rPr>
      </w:pPr>
      <w:r w:rsidRPr="005F62B2">
        <w:t xml:space="preserve">If you need help to understand the information in this </w:t>
      </w:r>
      <w:proofErr w:type="gramStart"/>
      <w:r w:rsidRPr="005F62B2">
        <w:t>policy</w:t>
      </w:r>
      <w:proofErr w:type="gramEnd"/>
      <w:r w:rsidRPr="005F62B2">
        <w:t xml:space="preserve"> please contact the North East Flexible Learning Network on PH: 0429274154</w:t>
      </w:r>
      <w:r>
        <w:t xml:space="preserve"> or via email at: </w:t>
      </w:r>
      <w:hyperlink r:id="rId12" w:history="1">
        <w:r w:rsidRPr="00BD4EAD">
          <w:rPr>
            <w:rStyle w:val="Hyperlink"/>
          </w:rPr>
          <w:t>brad.hearn@wssc.vic.edu.au</w:t>
        </w:r>
      </w:hyperlink>
      <w:r>
        <w:t xml:space="preserve"> </w:t>
      </w:r>
    </w:p>
    <w:p w14:paraId="76E5A1ED" w14:textId="77777777" w:rsidR="00282DF8" w:rsidRPr="00B40CCD" w:rsidRDefault="00282DF8" w:rsidP="00B40CCD">
      <w:pPr>
        <w:pStyle w:val="Covertitle"/>
      </w:pPr>
    </w:p>
    <w:p w14:paraId="0E28680C" w14:textId="31B038D0" w:rsidR="00624A55" w:rsidRDefault="003B2E0A" w:rsidP="00DA615F">
      <w:pPr>
        <w:pStyle w:val="Heading1"/>
      </w:pPr>
      <w:r w:rsidRPr="00DA615F">
        <w:fldChar w:fldCharType="begin"/>
      </w:r>
      <w:r w:rsidRPr="00DA615F">
        <w:instrText xml:space="preserve"> TITLE  \* MERGEFORMAT </w:instrText>
      </w:r>
      <w:r w:rsidRPr="00DA615F">
        <w:fldChar w:fldCharType="end"/>
      </w:r>
      <w:r w:rsidRPr="00DA615F">
        <w:fldChar w:fldCharType="begin"/>
      </w:r>
      <w:r w:rsidRPr="00DA615F">
        <w:instrText xml:space="preserve"> TITLE  \* MERGEFORMAT </w:instrText>
      </w:r>
      <w:r w:rsidRPr="00DA615F">
        <w:fldChar w:fldCharType="end"/>
      </w:r>
      <w:r w:rsidR="00281191">
        <w:t>Purpose</w:t>
      </w:r>
    </w:p>
    <w:p w14:paraId="4E591BD5" w14:textId="54DB59FC" w:rsidR="00E97660" w:rsidRDefault="00E97660" w:rsidP="00BB3F0A">
      <w:pPr>
        <w:spacing w:line="276" w:lineRule="auto"/>
      </w:pPr>
      <w:r w:rsidRPr="00E97660">
        <w:t xml:space="preserve">The purpose of this policy is to specify the </w:t>
      </w:r>
      <w:r w:rsidR="002B6163">
        <w:t xml:space="preserve">enrolment </w:t>
      </w:r>
      <w:r w:rsidRPr="00E97660">
        <w:t xml:space="preserve">criteria for students seeking </w:t>
      </w:r>
      <w:r w:rsidR="002B6163">
        <w:t>enrolment</w:t>
      </w:r>
      <w:r w:rsidRPr="00E97660">
        <w:t xml:space="preserve"> in </w:t>
      </w:r>
      <w:r>
        <w:t>the North East Flexible Learning Network (NEFLN</w:t>
      </w:r>
      <w:r w:rsidR="00D33AB2">
        <w:t>)</w:t>
      </w:r>
      <w:r w:rsidRPr="00E97660">
        <w:t xml:space="preserve">, </w:t>
      </w:r>
      <w:r w:rsidR="000102FD">
        <w:t xml:space="preserve">operated by Wodonga Senior Secondary College, </w:t>
      </w:r>
      <w:r w:rsidRPr="00E97660">
        <w:t>offered at the following campuses</w:t>
      </w:r>
      <w:r w:rsidR="00621FA6">
        <w:t>:</w:t>
      </w:r>
    </w:p>
    <w:p w14:paraId="45DE539D" w14:textId="6695B1AB" w:rsidR="00621FA6" w:rsidRPr="00302A4D" w:rsidRDefault="00621FA6" w:rsidP="00BB3F0A">
      <w:pPr>
        <w:pStyle w:val="ListParagraph"/>
        <w:numPr>
          <w:ilvl w:val="0"/>
          <w:numId w:val="21"/>
        </w:numPr>
        <w:spacing w:line="276" w:lineRule="auto"/>
        <w:contextualSpacing w:val="0"/>
        <w:rPr>
          <w:b/>
          <w:bCs/>
        </w:rPr>
      </w:pPr>
      <w:r w:rsidRPr="00302A4D">
        <w:rPr>
          <w:b/>
          <w:bCs/>
        </w:rPr>
        <w:t>Benalla</w:t>
      </w:r>
      <w:r w:rsidR="0082590F" w:rsidRPr="00302A4D">
        <w:rPr>
          <w:b/>
          <w:bCs/>
        </w:rPr>
        <w:t xml:space="preserve"> campus</w:t>
      </w:r>
    </w:p>
    <w:p w14:paraId="4F533AA3" w14:textId="3CDC011F" w:rsidR="0082590F" w:rsidRPr="00302A4D" w:rsidRDefault="0082590F" w:rsidP="00BB3F0A">
      <w:pPr>
        <w:pStyle w:val="ListParagraph"/>
        <w:spacing w:line="276" w:lineRule="auto"/>
        <w:contextualSpacing w:val="0"/>
      </w:pPr>
      <w:r w:rsidRPr="00302A4D">
        <w:t>50 Barkley Street, Benalla VIC 36</w:t>
      </w:r>
      <w:r w:rsidR="00302A4D" w:rsidRPr="00302A4D">
        <w:t>73</w:t>
      </w:r>
    </w:p>
    <w:p w14:paraId="29B67A40" w14:textId="1723101E" w:rsidR="00621FA6" w:rsidRPr="00302A4D" w:rsidRDefault="00621FA6" w:rsidP="00BB3F0A">
      <w:pPr>
        <w:pStyle w:val="ListParagraph"/>
        <w:numPr>
          <w:ilvl w:val="0"/>
          <w:numId w:val="21"/>
        </w:numPr>
        <w:spacing w:line="276" w:lineRule="auto"/>
        <w:contextualSpacing w:val="0"/>
        <w:rPr>
          <w:b/>
          <w:bCs/>
        </w:rPr>
      </w:pPr>
      <w:r w:rsidRPr="00302A4D">
        <w:rPr>
          <w:b/>
          <w:bCs/>
        </w:rPr>
        <w:t>Seymour</w:t>
      </w:r>
      <w:r w:rsidR="009403CA" w:rsidRPr="00302A4D">
        <w:rPr>
          <w:b/>
          <w:bCs/>
        </w:rPr>
        <w:t xml:space="preserve"> campus</w:t>
      </w:r>
    </w:p>
    <w:p w14:paraId="7B182ECD" w14:textId="6516F3A5" w:rsidR="009403CA" w:rsidRPr="0082590F" w:rsidRDefault="009403CA" w:rsidP="00BB3F0A">
      <w:pPr>
        <w:pStyle w:val="ListParagraph"/>
        <w:spacing w:line="276" w:lineRule="auto"/>
        <w:contextualSpacing w:val="0"/>
      </w:pPr>
      <w:r w:rsidRPr="0082590F">
        <w:t>50 Tallarook Street, S</w:t>
      </w:r>
      <w:r w:rsidR="0082590F" w:rsidRPr="0082590F">
        <w:t>eymour VIC 3660</w:t>
      </w:r>
    </w:p>
    <w:p w14:paraId="45DCBAED" w14:textId="672DDC7E" w:rsidR="00621FA6" w:rsidRPr="00302A4D" w:rsidRDefault="00621FA6" w:rsidP="00BB3F0A">
      <w:pPr>
        <w:pStyle w:val="ListParagraph"/>
        <w:numPr>
          <w:ilvl w:val="0"/>
          <w:numId w:val="21"/>
        </w:numPr>
        <w:spacing w:line="276" w:lineRule="auto"/>
        <w:contextualSpacing w:val="0"/>
        <w:rPr>
          <w:b/>
          <w:bCs/>
        </w:rPr>
      </w:pPr>
      <w:r w:rsidRPr="00302A4D">
        <w:rPr>
          <w:b/>
          <w:bCs/>
        </w:rPr>
        <w:t>Shepparton</w:t>
      </w:r>
      <w:r w:rsidR="00F814AE" w:rsidRPr="00302A4D">
        <w:rPr>
          <w:b/>
          <w:bCs/>
        </w:rPr>
        <w:t xml:space="preserve"> cam</w:t>
      </w:r>
      <w:r w:rsidR="009403CA" w:rsidRPr="00302A4D">
        <w:rPr>
          <w:b/>
          <w:bCs/>
        </w:rPr>
        <w:t>pus</w:t>
      </w:r>
    </w:p>
    <w:p w14:paraId="3A606DAD" w14:textId="1DC8DD27" w:rsidR="00BB2E55" w:rsidRPr="00F814AE" w:rsidRDefault="00F814AE" w:rsidP="00BB3F0A">
      <w:pPr>
        <w:pStyle w:val="ListParagraph"/>
        <w:spacing w:line="276" w:lineRule="auto"/>
        <w:contextualSpacing w:val="0"/>
      </w:pPr>
      <w:r w:rsidRPr="00F814AE">
        <w:t>100 Wilmot Road, Shepparton VIC 3630</w:t>
      </w:r>
    </w:p>
    <w:p w14:paraId="7C3E26C3" w14:textId="77777777" w:rsidR="002259D4" w:rsidRPr="00302A4D" w:rsidRDefault="005578DE" w:rsidP="00BB3F0A">
      <w:pPr>
        <w:pStyle w:val="ListParagraph"/>
        <w:numPr>
          <w:ilvl w:val="0"/>
          <w:numId w:val="21"/>
        </w:numPr>
        <w:spacing w:line="276" w:lineRule="auto"/>
        <w:contextualSpacing w:val="0"/>
        <w:rPr>
          <w:b/>
          <w:bCs/>
        </w:rPr>
      </w:pPr>
      <w:r w:rsidRPr="00302A4D">
        <w:rPr>
          <w:b/>
          <w:bCs/>
        </w:rPr>
        <w:t>Wodonga</w:t>
      </w:r>
      <w:r w:rsidR="000D5CF8" w:rsidRPr="00302A4D">
        <w:rPr>
          <w:b/>
          <w:bCs/>
        </w:rPr>
        <w:t xml:space="preserve"> campus</w:t>
      </w:r>
    </w:p>
    <w:p w14:paraId="2DF402F3" w14:textId="0A8FD80C" w:rsidR="000D5CF8" w:rsidRPr="00302A4D" w:rsidRDefault="002259D4" w:rsidP="00BB3F0A">
      <w:pPr>
        <w:pStyle w:val="ListParagraph"/>
        <w:spacing w:line="276" w:lineRule="auto"/>
        <w:contextualSpacing w:val="0"/>
        <w:rPr>
          <w:b/>
          <w:bCs/>
        </w:rPr>
      </w:pPr>
      <w:r w:rsidRPr="002259D4">
        <w:t>4 Bowman Ct, Wodonga</w:t>
      </w:r>
      <w:r w:rsidR="00BB2E55">
        <w:t xml:space="preserve"> VIC 3690</w:t>
      </w:r>
    </w:p>
    <w:p w14:paraId="551332EB" w14:textId="54ED2565" w:rsidR="00D576A1" w:rsidRPr="006E432E" w:rsidRDefault="00D576A1" w:rsidP="00D576A1">
      <w:pPr>
        <w:pStyle w:val="Heading1"/>
        <w:rPr>
          <w:rFonts w:asciiTheme="minorHAnsi" w:hAnsiTheme="minorHAnsi"/>
          <w:sz w:val="20"/>
          <w:szCs w:val="20"/>
        </w:rPr>
      </w:pPr>
      <w:r>
        <w:t>Policy</w:t>
      </w:r>
    </w:p>
    <w:p w14:paraId="0E204B23" w14:textId="29335907" w:rsidR="00800CAE" w:rsidRDefault="00D576A1" w:rsidP="00D576A1">
      <w:pPr>
        <w:pStyle w:val="Heading2"/>
      </w:pPr>
      <w:r>
        <w:t>About NEFLN</w:t>
      </w:r>
    </w:p>
    <w:p w14:paraId="4545E4BF" w14:textId="38854E1B" w:rsidR="008E08AB" w:rsidRDefault="00D92D95" w:rsidP="008E08AB">
      <w:r>
        <w:t>The four NEFLN</w:t>
      </w:r>
      <w:r w:rsidR="00E10048" w:rsidRPr="00E10048">
        <w:t xml:space="preserve"> campuses are standalone flexible learning </w:t>
      </w:r>
      <w:r w:rsidR="0037192A">
        <w:t xml:space="preserve">option </w:t>
      </w:r>
      <w:r w:rsidR="00E03C2D">
        <w:t xml:space="preserve">(FLO) </w:t>
      </w:r>
      <w:r w:rsidR="00E10048" w:rsidRPr="00E10048">
        <w:t xml:space="preserve">campuses of </w:t>
      </w:r>
      <w:r>
        <w:t>Wodonga Senior Secondary College</w:t>
      </w:r>
      <w:r w:rsidR="00E10048" w:rsidRPr="00E10048">
        <w:t xml:space="preserve"> that provide a flexible learning </w:t>
      </w:r>
      <w:r w:rsidR="0037192A">
        <w:t>program</w:t>
      </w:r>
      <w:r w:rsidR="00E10048" w:rsidRPr="00E10048">
        <w:t xml:space="preserve"> to support students </w:t>
      </w:r>
      <w:r w:rsidR="00E03C2D">
        <w:t>in the Goulburn and Ovens Murray Areas</w:t>
      </w:r>
      <w:r w:rsidR="00E03C2D" w:rsidRPr="00E10048">
        <w:t xml:space="preserve"> </w:t>
      </w:r>
      <w:r w:rsidR="00E10048" w:rsidRPr="00E10048">
        <w:t xml:space="preserve">who are at high risk of disengaging, or </w:t>
      </w:r>
      <w:r w:rsidR="00E03C2D">
        <w:t>have</w:t>
      </w:r>
      <w:r w:rsidR="00E10048" w:rsidRPr="00E10048">
        <w:t xml:space="preserve"> already disengaged from education. Th</w:t>
      </w:r>
      <w:r w:rsidR="00E03C2D">
        <w:t xml:space="preserve">e FLOs </w:t>
      </w:r>
      <w:r w:rsidR="00E10048" w:rsidRPr="00E10048">
        <w:t xml:space="preserve">offer highly individualised </w:t>
      </w:r>
      <w:r w:rsidR="008B36BC" w:rsidRPr="00E10048">
        <w:t>learning and ha</w:t>
      </w:r>
      <w:r w:rsidR="00E03C2D">
        <w:t>ve</w:t>
      </w:r>
      <w:r w:rsidR="008B36BC" w:rsidRPr="00E10048">
        <w:t xml:space="preserve"> a strong focus on providing holistic support for a student’s </w:t>
      </w:r>
      <w:r w:rsidR="00E03C2D">
        <w:t xml:space="preserve">wellbeing and their </w:t>
      </w:r>
      <w:r w:rsidR="008B36BC" w:rsidRPr="00E10048">
        <w:t xml:space="preserve">engagement </w:t>
      </w:r>
      <w:r w:rsidR="00D147B2">
        <w:t>in educatio</w:t>
      </w:r>
      <w:r w:rsidR="00E03C2D">
        <w:t>n</w:t>
      </w:r>
      <w:r w:rsidR="008B36BC" w:rsidRPr="00E10048">
        <w:t>.</w:t>
      </w:r>
    </w:p>
    <w:p w14:paraId="4BACB6CB" w14:textId="196EA894" w:rsidR="008E08AB" w:rsidRPr="0032203E" w:rsidRDefault="008E08AB" w:rsidP="008E08AB">
      <w:pPr>
        <w:pStyle w:val="Heading3"/>
      </w:pPr>
      <w:r w:rsidRPr="0032203E">
        <w:t>Values</w:t>
      </w:r>
    </w:p>
    <w:p w14:paraId="1C4ECBF6" w14:textId="0314B322" w:rsidR="008E08AB" w:rsidRPr="0032203E" w:rsidRDefault="008E08AB" w:rsidP="008E08AB">
      <w:r w:rsidRPr="0032203E">
        <w:t>Our key values are Respect, Resilience, Reliability, Resourcefulness</w:t>
      </w:r>
    </w:p>
    <w:p w14:paraId="15F35B16" w14:textId="77777777" w:rsidR="008E08AB" w:rsidRPr="0032203E" w:rsidRDefault="008E08AB" w:rsidP="008E08AB">
      <w:pPr>
        <w:pStyle w:val="Heading3"/>
      </w:pPr>
      <w:r w:rsidRPr="0032203E">
        <w:t>Mission statement</w:t>
      </w:r>
    </w:p>
    <w:p w14:paraId="33FA0FBE" w14:textId="77777777" w:rsidR="008E08AB" w:rsidRPr="0032203E" w:rsidRDefault="008E08AB" w:rsidP="008E08AB">
      <w:pPr>
        <w:rPr>
          <w:rFonts w:cstheme="minorHAnsi"/>
        </w:rPr>
      </w:pPr>
      <w:r w:rsidRPr="0032203E">
        <w:rPr>
          <w:rFonts w:cstheme="minorHAnsi"/>
        </w:rPr>
        <w:t>To provide students with an educational option that builds confidence, aspiration and skills to enable a transition to mainstream education, further education or employment. Our education community supports our students to:</w:t>
      </w:r>
    </w:p>
    <w:p w14:paraId="1B3AC112" w14:textId="77777777" w:rsidR="008E08AB" w:rsidRPr="00CF4F63" w:rsidRDefault="008E08AB" w:rsidP="00CF4F63">
      <w:pPr>
        <w:pStyle w:val="ListParagraph"/>
        <w:numPr>
          <w:ilvl w:val="0"/>
          <w:numId w:val="21"/>
        </w:numPr>
        <w:rPr>
          <w:rFonts w:cstheme="minorHAnsi"/>
        </w:rPr>
      </w:pPr>
      <w:r w:rsidRPr="00CF4F63">
        <w:rPr>
          <w:rFonts w:cstheme="minorHAnsi"/>
        </w:rPr>
        <w:lastRenderedPageBreak/>
        <w:t>Be confident, capable and self-motivated.</w:t>
      </w:r>
    </w:p>
    <w:p w14:paraId="380D893C" w14:textId="77777777" w:rsidR="008E08AB" w:rsidRPr="00CF4F63" w:rsidRDefault="008E08AB" w:rsidP="00CF4F63">
      <w:pPr>
        <w:pStyle w:val="ListParagraph"/>
        <w:numPr>
          <w:ilvl w:val="0"/>
          <w:numId w:val="21"/>
        </w:numPr>
        <w:rPr>
          <w:rFonts w:cstheme="minorHAnsi"/>
        </w:rPr>
      </w:pPr>
      <w:r w:rsidRPr="00CF4F63">
        <w:rPr>
          <w:rFonts w:cstheme="minorHAnsi"/>
        </w:rPr>
        <w:t>Be comfortable living in a world of diverse people, cultures, and beliefs.</w:t>
      </w:r>
    </w:p>
    <w:p w14:paraId="7A569763" w14:textId="77777777" w:rsidR="008E08AB" w:rsidRPr="00CF4F63" w:rsidRDefault="008E08AB" w:rsidP="00CF4F63">
      <w:pPr>
        <w:pStyle w:val="ListParagraph"/>
        <w:numPr>
          <w:ilvl w:val="0"/>
          <w:numId w:val="21"/>
        </w:numPr>
        <w:rPr>
          <w:rFonts w:cstheme="minorHAnsi"/>
        </w:rPr>
      </w:pPr>
      <w:r w:rsidRPr="00CF4F63">
        <w:rPr>
          <w:rFonts w:cstheme="minorHAnsi"/>
        </w:rPr>
        <w:t>Be respectful, tolerant and act with empathy.</w:t>
      </w:r>
    </w:p>
    <w:p w14:paraId="66FAB3F0" w14:textId="77777777" w:rsidR="008E08AB" w:rsidRPr="00CF4F63" w:rsidRDefault="008E08AB" w:rsidP="00CF4F63">
      <w:pPr>
        <w:pStyle w:val="ListParagraph"/>
        <w:numPr>
          <w:ilvl w:val="0"/>
          <w:numId w:val="21"/>
        </w:numPr>
        <w:rPr>
          <w:rFonts w:cstheme="minorHAnsi"/>
        </w:rPr>
      </w:pPr>
      <w:r w:rsidRPr="00CF4F63">
        <w:rPr>
          <w:rFonts w:cstheme="minorHAnsi"/>
        </w:rPr>
        <w:t>Make meaningful contributions to the local and global community.</w:t>
      </w:r>
    </w:p>
    <w:p w14:paraId="3AD5EB82" w14:textId="77777777" w:rsidR="008E08AB" w:rsidRPr="00CF4F63" w:rsidRDefault="008E08AB" w:rsidP="00CF4F63">
      <w:pPr>
        <w:pStyle w:val="ListParagraph"/>
        <w:numPr>
          <w:ilvl w:val="0"/>
          <w:numId w:val="21"/>
        </w:numPr>
        <w:rPr>
          <w:rFonts w:cstheme="minorHAnsi"/>
        </w:rPr>
      </w:pPr>
      <w:r w:rsidRPr="00CF4F63">
        <w:rPr>
          <w:rFonts w:cstheme="minorHAnsi"/>
        </w:rPr>
        <w:t>Be critical and creative thinkers.</w:t>
      </w:r>
    </w:p>
    <w:p w14:paraId="3BB8B497" w14:textId="77777777" w:rsidR="008E08AB" w:rsidRPr="00CF4F63" w:rsidRDefault="008E08AB" w:rsidP="00CF4F63">
      <w:pPr>
        <w:pStyle w:val="ListParagraph"/>
        <w:numPr>
          <w:ilvl w:val="0"/>
          <w:numId w:val="21"/>
        </w:numPr>
        <w:rPr>
          <w:rFonts w:cstheme="minorHAnsi"/>
        </w:rPr>
      </w:pPr>
      <w:r w:rsidRPr="00CF4F63">
        <w:rPr>
          <w:rFonts w:cstheme="minorHAnsi"/>
        </w:rPr>
        <w:t>Respond positively and appropriately to change and challenges.</w:t>
      </w:r>
    </w:p>
    <w:p w14:paraId="37F4E0F1" w14:textId="77777777" w:rsidR="008E08AB" w:rsidRPr="00CF4F63" w:rsidRDefault="008E08AB" w:rsidP="00CF4F63">
      <w:pPr>
        <w:pStyle w:val="ListParagraph"/>
        <w:numPr>
          <w:ilvl w:val="0"/>
          <w:numId w:val="21"/>
        </w:numPr>
        <w:rPr>
          <w:rFonts w:cstheme="minorHAnsi"/>
        </w:rPr>
      </w:pPr>
      <w:r w:rsidRPr="00CF4F63">
        <w:rPr>
          <w:rFonts w:cstheme="minorHAnsi"/>
        </w:rPr>
        <w:t>Set high expectations for themselves and strive to meet them.</w:t>
      </w:r>
    </w:p>
    <w:p w14:paraId="48666075" w14:textId="77777777" w:rsidR="008E08AB" w:rsidRPr="00CF4F63" w:rsidRDefault="008E08AB" w:rsidP="00CF4F63">
      <w:pPr>
        <w:pStyle w:val="ListParagraph"/>
        <w:numPr>
          <w:ilvl w:val="0"/>
          <w:numId w:val="21"/>
        </w:numPr>
        <w:rPr>
          <w:rFonts w:cstheme="minorHAnsi"/>
        </w:rPr>
      </w:pPr>
      <w:r w:rsidRPr="00CF4F63">
        <w:rPr>
          <w:rFonts w:cstheme="minorHAnsi"/>
        </w:rPr>
        <w:t>Be a safe and confident user of evolving technologies.</w:t>
      </w:r>
    </w:p>
    <w:p w14:paraId="1A8F395B" w14:textId="77777777" w:rsidR="008E08AB" w:rsidRPr="00CF4F63" w:rsidRDefault="008E08AB" w:rsidP="00CF4F63">
      <w:pPr>
        <w:pStyle w:val="ListParagraph"/>
        <w:numPr>
          <w:ilvl w:val="0"/>
          <w:numId w:val="21"/>
        </w:numPr>
        <w:rPr>
          <w:rFonts w:cstheme="minorHAnsi"/>
        </w:rPr>
      </w:pPr>
      <w:r w:rsidRPr="00CF4F63">
        <w:rPr>
          <w:rFonts w:cstheme="minorHAnsi"/>
        </w:rPr>
        <w:t>Be aware of pathways and career opportunities and successfully access these.</w:t>
      </w:r>
    </w:p>
    <w:p w14:paraId="3223A8FE" w14:textId="4B2B1E59" w:rsidR="00DD6130" w:rsidRPr="00CF4F63" w:rsidRDefault="008E08AB" w:rsidP="00CF4F63">
      <w:pPr>
        <w:pStyle w:val="ListParagraph"/>
        <w:numPr>
          <w:ilvl w:val="0"/>
          <w:numId w:val="21"/>
        </w:numPr>
        <w:rPr>
          <w:rFonts w:cstheme="minorHAnsi"/>
        </w:rPr>
      </w:pPr>
      <w:r w:rsidRPr="00CF4F63">
        <w:rPr>
          <w:rFonts w:cstheme="minorHAnsi"/>
        </w:rPr>
        <w:t>Have a strong sense of agency and self-efficacy.</w:t>
      </w:r>
    </w:p>
    <w:p w14:paraId="12F463FD" w14:textId="5FBDEA30" w:rsidR="00DD6130" w:rsidRDefault="0030529D" w:rsidP="00E60C0D">
      <w:pPr>
        <w:pStyle w:val="Heading2"/>
      </w:pPr>
      <w:r>
        <w:t>Eligibility criteria</w:t>
      </w:r>
      <w:r>
        <w:tab/>
      </w:r>
    </w:p>
    <w:p w14:paraId="70BB1567" w14:textId="787A1F8A" w:rsidR="00332902" w:rsidRDefault="00CD28B1" w:rsidP="00E10048">
      <w:r w:rsidRPr="00CD28B1">
        <w:t xml:space="preserve">Students at risk of disengagement should be referred to </w:t>
      </w:r>
      <w:r w:rsidR="00FE23A7">
        <w:t xml:space="preserve">NEFLN </w:t>
      </w:r>
      <w:r w:rsidRPr="00CD28B1">
        <w:t xml:space="preserve">only in the instance where their needs are not able to be met in mainstream school, and where in-school strategies and interventions (such as access to specialist services and classroom differentiation) are unsuitable or have proven to be ineffective. </w:t>
      </w:r>
    </w:p>
    <w:p w14:paraId="25B6D84E" w14:textId="2BDA4CA5" w:rsidR="001026CC" w:rsidRDefault="00CD28B1" w:rsidP="00E10048">
      <w:r w:rsidRPr="00CD28B1">
        <w:t>Students may be considered at risk of disengaging based on the following indicators:</w:t>
      </w:r>
    </w:p>
    <w:p w14:paraId="4893EE5E" w14:textId="09247F3F" w:rsidR="001026CC" w:rsidRDefault="00CD28B1" w:rsidP="00CF4F63">
      <w:pPr>
        <w:pStyle w:val="ListParagraph"/>
        <w:numPr>
          <w:ilvl w:val="0"/>
          <w:numId w:val="21"/>
        </w:numPr>
      </w:pPr>
      <w:r w:rsidRPr="00CD28B1">
        <w:t>Low or non-attendance</w:t>
      </w:r>
    </w:p>
    <w:p w14:paraId="503A9E8E" w14:textId="7AB5E6AE" w:rsidR="001026CC" w:rsidRPr="00D147B2" w:rsidRDefault="00CD28B1" w:rsidP="00CF4F63">
      <w:pPr>
        <w:pStyle w:val="ListParagraph"/>
        <w:numPr>
          <w:ilvl w:val="0"/>
          <w:numId w:val="21"/>
        </w:numPr>
      </w:pPr>
      <w:r w:rsidRPr="00D147B2">
        <w:t>Low literacy and/or numeracy outcomes</w:t>
      </w:r>
    </w:p>
    <w:p w14:paraId="50D6AD72" w14:textId="02F5A47C" w:rsidR="001026CC" w:rsidRPr="00D147B2" w:rsidRDefault="00CD28B1" w:rsidP="00CF4F63">
      <w:pPr>
        <w:pStyle w:val="ListParagraph"/>
        <w:numPr>
          <w:ilvl w:val="0"/>
          <w:numId w:val="21"/>
        </w:numPr>
      </w:pPr>
      <w:r w:rsidRPr="00D147B2">
        <w:t>A history of school exclusion</w:t>
      </w:r>
    </w:p>
    <w:p w14:paraId="5D984301" w14:textId="05A24C33" w:rsidR="00CD28B1" w:rsidRPr="00D147B2" w:rsidRDefault="00CD28B1" w:rsidP="00CF4F63">
      <w:pPr>
        <w:pStyle w:val="ListParagraph"/>
        <w:numPr>
          <w:ilvl w:val="0"/>
          <w:numId w:val="21"/>
        </w:numPr>
      </w:pPr>
      <w:r w:rsidRPr="00D147B2">
        <w:t>Diagnosed or suspected medical or mental health issues</w:t>
      </w:r>
    </w:p>
    <w:p w14:paraId="7D8DE61A" w14:textId="2117B0BB" w:rsidR="004B5068" w:rsidRPr="00D147B2" w:rsidRDefault="004B5068" w:rsidP="00CF4F63">
      <w:pPr>
        <w:pStyle w:val="ListParagraph"/>
        <w:numPr>
          <w:ilvl w:val="0"/>
          <w:numId w:val="21"/>
        </w:numPr>
      </w:pPr>
      <w:r w:rsidRPr="00D147B2">
        <w:t>Behaviours of concern</w:t>
      </w:r>
    </w:p>
    <w:p w14:paraId="0FC0CF31" w14:textId="54DD8D02" w:rsidR="00251688" w:rsidRDefault="00841434" w:rsidP="00E10048">
      <w:r w:rsidRPr="00841434">
        <w:t>The student should present, at a minimum, multiple indicators that they have already disengaged from education. FLOs should be considered as a short-term intervention and the focus should be on supporting the student to return to mainstream school, or into further education, training or employment. As a minimum, schools must have implemented a staged response over a considerable period. It is expected that a range of supports and strategies will have been implemented prior to a referral. Evidence must be provided that a school has exhausted every avenue to support the individual and that the student</w:t>
      </w:r>
      <w:r w:rsidR="008119C8">
        <w:t xml:space="preserve"> is</w:t>
      </w:r>
      <w:r w:rsidRPr="00841434">
        <w:t xml:space="preserve"> unable to engage in their education. Examples of such evidenc</w:t>
      </w:r>
      <w:r w:rsidR="00CA46FA">
        <w:t>e include:</w:t>
      </w:r>
    </w:p>
    <w:p w14:paraId="154DA36A" w14:textId="6D123C52" w:rsidR="00251688" w:rsidRDefault="00841434" w:rsidP="00CF4F63">
      <w:pPr>
        <w:pStyle w:val="ListParagraph"/>
        <w:numPr>
          <w:ilvl w:val="0"/>
          <w:numId w:val="21"/>
        </w:numPr>
      </w:pPr>
      <w:r w:rsidRPr="00841434">
        <w:t>Recorded and monitored attendance, including explanations</w:t>
      </w:r>
      <w:r w:rsidR="00E03C2D">
        <w:t xml:space="preserve"> </w:t>
      </w:r>
      <w:r w:rsidRPr="00841434">
        <w:t xml:space="preserve">for absences </w:t>
      </w:r>
    </w:p>
    <w:p w14:paraId="2FC55D56" w14:textId="2B6DEC7F" w:rsidR="00251688" w:rsidRDefault="00841434" w:rsidP="00CF4F63">
      <w:pPr>
        <w:pStyle w:val="ListParagraph"/>
        <w:numPr>
          <w:ilvl w:val="0"/>
          <w:numId w:val="21"/>
        </w:numPr>
      </w:pPr>
      <w:r w:rsidRPr="00841434">
        <w:t>Attendance management plan</w:t>
      </w:r>
    </w:p>
    <w:p w14:paraId="7E2B75C4" w14:textId="7123FCA3" w:rsidR="00251688" w:rsidRDefault="00841434" w:rsidP="00CF4F63">
      <w:pPr>
        <w:pStyle w:val="ListParagraph"/>
        <w:numPr>
          <w:ilvl w:val="0"/>
          <w:numId w:val="21"/>
        </w:numPr>
      </w:pPr>
      <w:r w:rsidRPr="00841434">
        <w:t>Return to school plan</w:t>
      </w:r>
    </w:p>
    <w:p w14:paraId="01BE16F0" w14:textId="06947BFB" w:rsidR="00251688" w:rsidRDefault="00841434" w:rsidP="00CF4F63">
      <w:pPr>
        <w:pStyle w:val="ListParagraph"/>
        <w:numPr>
          <w:ilvl w:val="0"/>
          <w:numId w:val="21"/>
        </w:numPr>
      </w:pPr>
      <w:r w:rsidRPr="00841434">
        <w:t>Scheduled meetings to review strategies</w:t>
      </w:r>
    </w:p>
    <w:p w14:paraId="7C163C8A" w14:textId="148AFE56" w:rsidR="00251688" w:rsidRDefault="00841434" w:rsidP="00CF4F63">
      <w:pPr>
        <w:pStyle w:val="ListParagraph"/>
        <w:numPr>
          <w:ilvl w:val="0"/>
          <w:numId w:val="21"/>
        </w:numPr>
      </w:pPr>
      <w:r w:rsidRPr="00841434">
        <w:t>Individual Education Plan (IEP)</w:t>
      </w:r>
    </w:p>
    <w:p w14:paraId="09FA6CAA" w14:textId="63D88725" w:rsidR="00251688" w:rsidRDefault="00841434" w:rsidP="00CF4F63">
      <w:pPr>
        <w:pStyle w:val="ListParagraph"/>
        <w:numPr>
          <w:ilvl w:val="0"/>
          <w:numId w:val="21"/>
        </w:numPr>
      </w:pPr>
      <w:r w:rsidRPr="00841434">
        <w:t>Record of Student Support Group meetings (SSG).</w:t>
      </w:r>
    </w:p>
    <w:p w14:paraId="58C5915A" w14:textId="675AEA5E" w:rsidR="00251688" w:rsidRDefault="00841434" w:rsidP="00CF4F63">
      <w:pPr>
        <w:pStyle w:val="ListParagraph"/>
        <w:numPr>
          <w:ilvl w:val="0"/>
          <w:numId w:val="21"/>
        </w:numPr>
      </w:pPr>
      <w:r w:rsidRPr="00841434">
        <w:t>Referral to and ongoing support from student support/wellbeing staff within the school</w:t>
      </w:r>
    </w:p>
    <w:p w14:paraId="293D617E" w14:textId="1CF379BE" w:rsidR="00251688" w:rsidRDefault="00841434" w:rsidP="00CF4F63">
      <w:pPr>
        <w:pStyle w:val="ListParagraph"/>
        <w:numPr>
          <w:ilvl w:val="0"/>
          <w:numId w:val="21"/>
        </w:numPr>
      </w:pPr>
      <w:r w:rsidRPr="00841434">
        <w:t>Consultation with relevant Department of Education regional office multidisciplinary teams, (i.e. SSS, Wellbeing and Engagement, Youth Pathways and Transitions, Navigator and Lookout)</w:t>
      </w:r>
    </w:p>
    <w:p w14:paraId="40AD9201" w14:textId="31EB977A" w:rsidR="00251688" w:rsidRDefault="00841434" w:rsidP="00CF4F63">
      <w:pPr>
        <w:pStyle w:val="ListParagraph"/>
        <w:numPr>
          <w:ilvl w:val="0"/>
          <w:numId w:val="21"/>
        </w:numPr>
      </w:pPr>
      <w:r w:rsidRPr="00841434">
        <w:t xml:space="preserve">Consultation with external relevant agencies such as DFFH and </w:t>
      </w:r>
      <w:proofErr w:type="spellStart"/>
      <w:r w:rsidRPr="00841434">
        <w:t>DoJ</w:t>
      </w:r>
      <w:proofErr w:type="spellEnd"/>
    </w:p>
    <w:p w14:paraId="48B2A3A1" w14:textId="5E930CEC" w:rsidR="00251688" w:rsidRDefault="00841434" w:rsidP="00CF4F63">
      <w:pPr>
        <w:pStyle w:val="ListParagraph"/>
        <w:numPr>
          <w:ilvl w:val="0"/>
          <w:numId w:val="21"/>
        </w:numPr>
      </w:pPr>
      <w:r w:rsidRPr="00841434">
        <w:t>Reasonable adjustments for students with disabilities</w:t>
      </w:r>
    </w:p>
    <w:p w14:paraId="741BB1F7" w14:textId="1847E447" w:rsidR="00841434" w:rsidRDefault="00841434" w:rsidP="00CF4F63">
      <w:pPr>
        <w:pStyle w:val="ListParagraph"/>
        <w:numPr>
          <w:ilvl w:val="0"/>
          <w:numId w:val="21"/>
        </w:numPr>
      </w:pPr>
      <w:r w:rsidRPr="00841434">
        <w:t>Careers and pathways planning</w:t>
      </w:r>
    </w:p>
    <w:p w14:paraId="6DB0723D" w14:textId="77777777" w:rsidR="00332902" w:rsidRDefault="00884D55" w:rsidP="00E10048">
      <w:r>
        <w:t xml:space="preserve">Enrolments are </w:t>
      </w:r>
      <w:r w:rsidR="00941480">
        <w:t>targeted at stude</w:t>
      </w:r>
      <w:r w:rsidR="00010489">
        <w:t>n</w:t>
      </w:r>
      <w:r w:rsidR="00941480">
        <w:t xml:space="preserve">ts in Y10 – 12 of secondary education. Younger year levels may be enrolled </w:t>
      </w:r>
      <w:r w:rsidR="002E1DD1">
        <w:t xml:space="preserve">under </w:t>
      </w:r>
      <w:proofErr w:type="spellStart"/>
      <w:r w:rsidR="002E1DD1">
        <w:t>extenuationg</w:t>
      </w:r>
      <w:proofErr w:type="spellEnd"/>
      <w:r w:rsidR="002E1DD1">
        <w:t xml:space="preserve"> circumstances </w:t>
      </w:r>
      <w:r w:rsidR="00941480">
        <w:t>on a case-by-case basis determ</w:t>
      </w:r>
      <w:r w:rsidR="00327E07">
        <w:t xml:space="preserve">ined by the </w:t>
      </w:r>
      <w:r w:rsidR="0033070E">
        <w:t>c</w:t>
      </w:r>
      <w:r w:rsidR="00327E07">
        <w:t xml:space="preserve">ampus </w:t>
      </w:r>
      <w:r w:rsidR="0033070E">
        <w:t>p</w:t>
      </w:r>
      <w:r w:rsidR="00327E07">
        <w:t>rincipal at each site</w:t>
      </w:r>
      <w:r w:rsidR="002E1DD1">
        <w:t xml:space="preserve"> </w:t>
      </w:r>
      <w:r w:rsidR="0033070E">
        <w:t xml:space="preserve">in consultation with the regional office. </w:t>
      </w:r>
    </w:p>
    <w:p w14:paraId="795BC9D9" w14:textId="45F7A46B" w:rsidR="00327E07" w:rsidRDefault="00332902" w:rsidP="00E10048">
      <w:r>
        <w:t xml:space="preserve">Students must be willing to be involved and fully committed to </w:t>
      </w:r>
      <w:r w:rsidR="00E03C2D">
        <w:t>the</w:t>
      </w:r>
      <w:r>
        <w:t xml:space="preserve"> NEFLN learning environment a</w:t>
      </w:r>
      <w:r w:rsidR="00E03C2D">
        <w:t>n</w:t>
      </w:r>
      <w:r>
        <w:t>d agree to work co-operatively and non-violently with other students and staff.</w:t>
      </w:r>
    </w:p>
    <w:p w14:paraId="2403EF53" w14:textId="2105DF7F" w:rsidR="002221B3" w:rsidRPr="00560C07" w:rsidRDefault="002221B3" w:rsidP="00E10048">
      <w:r w:rsidRPr="00560C07">
        <w:t xml:space="preserve">Enrolments will only be considered where it can be demonstrated that: </w:t>
      </w:r>
    </w:p>
    <w:p w14:paraId="44BBCFC6" w14:textId="0EF0A217" w:rsidR="002221B3" w:rsidRDefault="002221B3" w:rsidP="00CF4F63">
      <w:pPr>
        <w:pStyle w:val="ListParagraph"/>
        <w:numPr>
          <w:ilvl w:val="0"/>
          <w:numId w:val="21"/>
        </w:numPr>
      </w:pPr>
      <w:r w:rsidRPr="002221B3">
        <w:t xml:space="preserve">All possible </w:t>
      </w:r>
      <w:r w:rsidR="005B726D">
        <w:t>supports</w:t>
      </w:r>
      <w:r w:rsidRPr="002221B3">
        <w:t xml:space="preserve"> </w:t>
      </w:r>
      <w:proofErr w:type="gramStart"/>
      <w:r w:rsidRPr="002221B3">
        <w:t>has</w:t>
      </w:r>
      <w:proofErr w:type="gramEnd"/>
      <w:r w:rsidRPr="002221B3">
        <w:t xml:space="preserve"> been provided to assist the student </w:t>
      </w:r>
      <w:r w:rsidR="00E03C2D">
        <w:t xml:space="preserve">to </w:t>
      </w:r>
      <w:r w:rsidRPr="002221B3">
        <w:t>remain in mainstream school</w:t>
      </w:r>
    </w:p>
    <w:p w14:paraId="5E2392A7" w14:textId="199415C8" w:rsidR="002221B3" w:rsidRDefault="002221B3" w:rsidP="00CF4F63">
      <w:pPr>
        <w:pStyle w:val="ListParagraph"/>
        <w:numPr>
          <w:ilvl w:val="0"/>
          <w:numId w:val="21"/>
        </w:numPr>
      </w:pPr>
      <w:r w:rsidRPr="002221B3">
        <w:t>Attempts have been made to involve other professionals from outside the school community</w:t>
      </w:r>
    </w:p>
    <w:p w14:paraId="01A77F00" w14:textId="7B0C2BA4" w:rsidR="002221B3" w:rsidRDefault="002221B3" w:rsidP="00CF4F63">
      <w:pPr>
        <w:pStyle w:val="ListParagraph"/>
        <w:numPr>
          <w:ilvl w:val="0"/>
          <w:numId w:val="21"/>
        </w:numPr>
      </w:pPr>
      <w:r w:rsidRPr="002221B3">
        <w:t>All other appropriate mainstream educational options have been exhausted</w:t>
      </w:r>
    </w:p>
    <w:p w14:paraId="37972A62" w14:textId="77A78C58" w:rsidR="002221B3" w:rsidRDefault="002221B3" w:rsidP="00CF4F63">
      <w:pPr>
        <w:pStyle w:val="ListParagraph"/>
        <w:numPr>
          <w:ilvl w:val="0"/>
          <w:numId w:val="21"/>
        </w:numPr>
      </w:pPr>
      <w:r w:rsidRPr="002221B3">
        <w:lastRenderedPageBreak/>
        <w:t>Reintegration into mainstream school is no</w:t>
      </w:r>
      <w:r w:rsidR="002D6215">
        <w:t xml:space="preserve">t </w:t>
      </w:r>
      <w:r w:rsidRPr="002221B3">
        <w:t xml:space="preserve">feasible </w:t>
      </w:r>
      <w:r w:rsidR="002D6215">
        <w:t>at the moment</w:t>
      </w:r>
      <w:r w:rsidRPr="002221B3">
        <w:t xml:space="preserve"> due to </w:t>
      </w:r>
      <w:r w:rsidR="00FC2588">
        <w:t>a</w:t>
      </w:r>
      <w:r w:rsidRPr="002221B3">
        <w:t xml:space="preserve"> history of disengagement or irretrievable breakdown of the student-school relationship</w:t>
      </w:r>
    </w:p>
    <w:p w14:paraId="3046D297" w14:textId="5880DB38" w:rsidR="002221B3" w:rsidRDefault="002221B3" w:rsidP="00CF4F63">
      <w:pPr>
        <w:pStyle w:val="ListParagraph"/>
        <w:numPr>
          <w:ilvl w:val="0"/>
          <w:numId w:val="21"/>
        </w:numPr>
      </w:pPr>
      <w:r w:rsidRPr="002221B3">
        <w:t xml:space="preserve">There is a clear indication that the </w:t>
      </w:r>
      <w:r>
        <w:t xml:space="preserve">NEFLN </w:t>
      </w:r>
      <w:r w:rsidRPr="002221B3">
        <w:t xml:space="preserve">program will benefit the student. </w:t>
      </w:r>
    </w:p>
    <w:p w14:paraId="4C5221BA" w14:textId="408707B3" w:rsidR="006F1BEE" w:rsidRDefault="005E45F0" w:rsidP="00E10048">
      <w:r>
        <w:t>The referral of a</w:t>
      </w:r>
      <w:r w:rsidR="00135F9A">
        <w:t xml:space="preserve"> </w:t>
      </w:r>
      <w:r w:rsidR="00135F9A" w:rsidRPr="002415FC">
        <w:t xml:space="preserve">student to </w:t>
      </w:r>
      <w:r w:rsidR="00C74D01" w:rsidRPr="002415FC">
        <w:t xml:space="preserve">NEFLN </w:t>
      </w:r>
      <w:r w:rsidR="00135F9A" w:rsidRPr="002415FC">
        <w:t xml:space="preserve">must always be agreed between the </w:t>
      </w:r>
      <w:r w:rsidR="004B30E2">
        <w:t>current enrolled</w:t>
      </w:r>
      <w:r w:rsidR="00135F9A" w:rsidRPr="002415FC">
        <w:t xml:space="preserve"> school, the student, their family or carer</w:t>
      </w:r>
      <w:r w:rsidR="00FC2588">
        <w:t xml:space="preserve"> and</w:t>
      </w:r>
      <w:r w:rsidR="00135F9A" w:rsidRPr="002415FC">
        <w:t xml:space="preserve"> the FLO campus</w:t>
      </w:r>
      <w:r w:rsidR="006F1BEE" w:rsidRPr="002415FC">
        <w:t xml:space="preserve"> </w:t>
      </w:r>
      <w:r w:rsidR="002415FC">
        <w:t>staff</w:t>
      </w:r>
      <w:r w:rsidR="00E03C2D">
        <w:t>,</w:t>
      </w:r>
      <w:r w:rsidR="002415FC">
        <w:t xml:space="preserve"> </w:t>
      </w:r>
      <w:r w:rsidR="006F1BEE" w:rsidRPr="002415FC">
        <w:t>and must first and foremost consider the best interest of the young person.</w:t>
      </w:r>
      <w:r w:rsidR="006F1BEE">
        <w:t xml:space="preserve"> </w:t>
      </w:r>
    </w:p>
    <w:p w14:paraId="283BD702" w14:textId="1648F05A" w:rsidR="002221B3" w:rsidRDefault="002221B3" w:rsidP="00E10048">
      <w:r w:rsidRPr="002221B3">
        <w:t xml:space="preserve">The Department of Education </w:t>
      </w:r>
      <w:r w:rsidR="00E03C2D">
        <w:t>r</w:t>
      </w:r>
      <w:r w:rsidRPr="002221B3">
        <w:t xml:space="preserve">egional </w:t>
      </w:r>
      <w:r w:rsidR="00E03C2D">
        <w:t>o</w:t>
      </w:r>
      <w:r w:rsidRPr="002221B3">
        <w:t xml:space="preserve">ffice will review every </w:t>
      </w:r>
      <w:r w:rsidR="00E03C2D">
        <w:t>referral</w:t>
      </w:r>
      <w:r w:rsidRPr="002221B3">
        <w:t xml:space="preserve"> to ensure that the student’s educational needs are adequately assessed, and the referrer has taken all reasonable steps to support the young person to engage in a mainstream school enrolment. </w:t>
      </w:r>
    </w:p>
    <w:p w14:paraId="33E85306" w14:textId="77777777" w:rsidR="002221B3" w:rsidRDefault="002221B3" w:rsidP="00E10048">
      <w:r w:rsidRPr="002221B3">
        <w:t xml:space="preserve">Students who meet the following criteria require Regional Director Approval for enrolment </w:t>
      </w:r>
      <w:r>
        <w:t>into NEFLN:</w:t>
      </w:r>
    </w:p>
    <w:p w14:paraId="3EDE8F42" w14:textId="25807F24" w:rsidR="002221B3" w:rsidRDefault="005F73A5" w:rsidP="00CF4F63">
      <w:pPr>
        <w:pStyle w:val="ListParagraph"/>
        <w:numPr>
          <w:ilvl w:val="0"/>
          <w:numId w:val="21"/>
        </w:numPr>
      </w:pPr>
      <w:r>
        <w:t>Are u</w:t>
      </w:r>
      <w:r w:rsidR="002221B3" w:rsidRPr="002221B3">
        <w:t xml:space="preserve">nder the age of 15 years </w:t>
      </w:r>
    </w:p>
    <w:p w14:paraId="6224A0BF" w14:textId="73ECA5C6" w:rsidR="005F73A5" w:rsidRDefault="005F73A5" w:rsidP="00CF4F63">
      <w:pPr>
        <w:pStyle w:val="ListParagraph"/>
        <w:numPr>
          <w:ilvl w:val="0"/>
          <w:numId w:val="21"/>
        </w:numPr>
      </w:pPr>
      <w:r>
        <w:t>Are referred following an expulsion</w:t>
      </w:r>
    </w:p>
    <w:p w14:paraId="2A50C82A" w14:textId="1B97721E" w:rsidR="002221B3" w:rsidRDefault="005F73A5" w:rsidP="00CF4F63">
      <w:pPr>
        <w:pStyle w:val="ListParagraph"/>
        <w:numPr>
          <w:ilvl w:val="0"/>
          <w:numId w:val="21"/>
        </w:numPr>
      </w:pPr>
      <w:r>
        <w:t>Are i</w:t>
      </w:r>
      <w:r w:rsidR="002221B3" w:rsidRPr="002221B3">
        <w:t>n Out</w:t>
      </w:r>
      <w:r>
        <w:t>-</w:t>
      </w:r>
      <w:r w:rsidR="002221B3" w:rsidRPr="002221B3">
        <w:t>of</w:t>
      </w:r>
      <w:r>
        <w:t>-</w:t>
      </w:r>
      <w:r w:rsidR="002221B3" w:rsidRPr="002221B3">
        <w:t>Home Care (</w:t>
      </w:r>
      <w:proofErr w:type="spellStart"/>
      <w:r w:rsidR="002221B3" w:rsidRPr="002221B3">
        <w:t>OoHC</w:t>
      </w:r>
      <w:proofErr w:type="spellEnd"/>
      <w:r w:rsidR="002221B3" w:rsidRPr="002221B3">
        <w:t>)</w:t>
      </w:r>
    </w:p>
    <w:p w14:paraId="3EC1FA81" w14:textId="32F7BE1B" w:rsidR="00155B30" w:rsidRDefault="00155B30" w:rsidP="00CF4F63">
      <w:pPr>
        <w:pStyle w:val="ListParagraph"/>
        <w:numPr>
          <w:ilvl w:val="0"/>
          <w:numId w:val="21"/>
        </w:numPr>
      </w:pPr>
      <w:r>
        <w:t xml:space="preserve">Have been </w:t>
      </w:r>
      <w:r w:rsidR="00A54F53">
        <w:t>involved in the youth justice system</w:t>
      </w:r>
    </w:p>
    <w:p w14:paraId="431C34A3" w14:textId="15BC1148" w:rsidR="002221B3" w:rsidRDefault="002221B3" w:rsidP="00CF4F63">
      <w:pPr>
        <w:pStyle w:val="ListParagraph"/>
        <w:numPr>
          <w:ilvl w:val="0"/>
          <w:numId w:val="21"/>
        </w:numPr>
      </w:pPr>
      <w:r w:rsidRPr="002221B3">
        <w:t>Identif</w:t>
      </w:r>
      <w:r w:rsidR="005F73A5">
        <w:t>y</w:t>
      </w:r>
      <w:r w:rsidRPr="002221B3">
        <w:t xml:space="preserve"> as Aboriginal or Torres Strait Islander</w:t>
      </w:r>
      <w:r w:rsidR="005F73A5">
        <w:t xml:space="preserve"> </w:t>
      </w:r>
    </w:p>
    <w:p w14:paraId="098AE36D" w14:textId="4338DB84" w:rsidR="00C74D01" w:rsidRDefault="00F122D1" w:rsidP="00AB5A72">
      <w:pPr>
        <w:pStyle w:val="ListParagraph"/>
        <w:numPr>
          <w:ilvl w:val="0"/>
          <w:numId w:val="21"/>
        </w:numPr>
      </w:pPr>
      <w:r w:rsidRPr="00F27CE9">
        <w:t>Are el</w:t>
      </w:r>
      <w:r w:rsidR="002221B3" w:rsidRPr="00F27CE9">
        <w:t>igible for funding under the program for Students with Disabilities</w:t>
      </w:r>
      <w:r w:rsidRPr="00F27CE9">
        <w:t xml:space="preserve"> and </w:t>
      </w:r>
      <w:r w:rsidR="00D15891" w:rsidRPr="00F27CE9">
        <w:t>Disability Inclusion Funding</w:t>
      </w:r>
    </w:p>
    <w:p w14:paraId="21761DDC" w14:textId="4BB6BB44" w:rsidR="00C74D01" w:rsidRDefault="00C74D01" w:rsidP="008F0EEE">
      <w:pPr>
        <w:contextualSpacing/>
      </w:pPr>
      <w:r>
        <w:t>All r</w:t>
      </w:r>
      <w:r w:rsidRPr="00712425">
        <w:t>eferrals must be made</w:t>
      </w:r>
      <w:r>
        <w:t xml:space="preserve"> by the NEFLN staff through the online referral approval system for </w:t>
      </w:r>
      <w:r w:rsidR="00E03C2D">
        <w:t xml:space="preserve">either </w:t>
      </w:r>
      <w:r>
        <w:t>local area approv</w:t>
      </w:r>
      <w:r w:rsidR="00E03C2D">
        <w:t>al</w:t>
      </w:r>
      <w:r>
        <w:t xml:space="preserve"> or regional director approval. </w:t>
      </w:r>
    </w:p>
    <w:p w14:paraId="4F483DC2" w14:textId="77777777" w:rsidR="00C74D01" w:rsidRPr="0052476B" w:rsidRDefault="00C74D01" w:rsidP="008F0EEE">
      <w:pPr>
        <w:contextualSpacing/>
      </w:pPr>
    </w:p>
    <w:p w14:paraId="53F08A2E" w14:textId="32660A41" w:rsidR="00DB0163" w:rsidRDefault="00C74D01" w:rsidP="008F0EEE">
      <w:pPr>
        <w:contextualSpacing/>
      </w:pPr>
      <w:r w:rsidRPr="0052476B">
        <w:t xml:space="preserve">If the referral is successful, the student’s enrolment including the pro-rata SRP will be transferred </w:t>
      </w:r>
      <w:r w:rsidR="0052476B" w:rsidRPr="0052476B">
        <w:t xml:space="preserve">from their current enrolled school (if applicable) </w:t>
      </w:r>
      <w:r w:rsidRPr="0052476B">
        <w:t xml:space="preserve">to Wodonga Senior Secondary College. </w:t>
      </w:r>
    </w:p>
    <w:p w14:paraId="74446D28" w14:textId="77777777" w:rsidR="00AB5A72" w:rsidRPr="0052476B" w:rsidRDefault="00AB5A72" w:rsidP="008F0EEE">
      <w:pPr>
        <w:contextualSpacing/>
      </w:pPr>
    </w:p>
    <w:p w14:paraId="6745458F" w14:textId="798B3382" w:rsidR="00B1223E" w:rsidRDefault="00B1223E" w:rsidP="008F0EEE">
      <w:pPr>
        <w:contextualSpacing/>
      </w:pPr>
      <w:r>
        <w:t xml:space="preserve">For detailed </w:t>
      </w:r>
      <w:r w:rsidR="00232BBD">
        <w:t xml:space="preserve">guidance on eligibility, refer to </w:t>
      </w:r>
      <w:hyperlink r:id="rId13" w:history="1">
        <w:r w:rsidR="008F0EEE" w:rsidRPr="005F62B2">
          <w:rPr>
            <w:rFonts w:eastAsia="Times New Roman" w:cstheme="minorHAnsi"/>
            <w:color w:val="1855BF"/>
            <w:lang w:eastAsia="en-AU"/>
          </w:rPr>
          <w:t>Flexible Learning Options</w:t>
        </w:r>
        <w:r w:rsidR="00927AAA">
          <w:rPr>
            <w:rFonts w:eastAsia="Times New Roman" w:cstheme="minorHAnsi"/>
            <w:color w:val="1855BF"/>
            <w:lang w:eastAsia="en-AU"/>
          </w:rPr>
          <w:t xml:space="preserve"> -</w:t>
        </w:r>
        <w:r w:rsidR="008F0EEE" w:rsidRPr="005F62B2">
          <w:rPr>
            <w:rFonts w:eastAsia="Times New Roman" w:cstheme="minorHAnsi"/>
            <w:color w:val="1855BF"/>
            <w:lang w:eastAsia="en-AU"/>
          </w:rPr>
          <w:t xml:space="preserve"> Mandatory Guidelines and Procedures</w:t>
        </w:r>
      </w:hyperlink>
      <w:r w:rsidR="008F0EEE" w:rsidRPr="005F62B2">
        <w:rPr>
          <w:rFonts w:eastAsia="Times New Roman" w:cstheme="minorHAnsi"/>
          <w:color w:val="011A3C"/>
          <w:lang w:eastAsia="en-AU"/>
        </w:rPr>
        <w:t>.</w:t>
      </w:r>
    </w:p>
    <w:p w14:paraId="0BE47876" w14:textId="7AE33074" w:rsidR="00A83A0D" w:rsidRDefault="00A83A0D" w:rsidP="00A83A0D">
      <w:pPr>
        <w:pStyle w:val="Heading1"/>
      </w:pPr>
      <w:r>
        <w:t>Student Support</w:t>
      </w:r>
    </w:p>
    <w:p w14:paraId="0AB8A8F8" w14:textId="1FC1983E" w:rsidR="00CF4F63" w:rsidRPr="00CF4F63" w:rsidRDefault="00CF4F63" w:rsidP="00CF4F63">
      <w:pPr>
        <w:pStyle w:val="ListParagraph"/>
        <w:numPr>
          <w:ilvl w:val="0"/>
          <w:numId w:val="21"/>
        </w:numPr>
        <w:rPr>
          <w:rFonts w:cstheme="minorHAnsi"/>
        </w:rPr>
      </w:pPr>
      <w:r w:rsidRPr="00CF4F63">
        <w:rPr>
          <w:rFonts w:cstheme="minorHAnsi"/>
        </w:rPr>
        <w:t>Parents/guardians are responsible for providing current and correct enrolment details for the duration of a student enrolment.</w:t>
      </w:r>
    </w:p>
    <w:p w14:paraId="6936DB3A" w14:textId="3CFFE11E" w:rsidR="00CF4F63" w:rsidRPr="00CF4F63" w:rsidRDefault="00CF4F63" w:rsidP="00CF4F63">
      <w:pPr>
        <w:pStyle w:val="ListParagraph"/>
        <w:numPr>
          <w:ilvl w:val="0"/>
          <w:numId w:val="21"/>
        </w:numPr>
        <w:rPr>
          <w:rFonts w:cstheme="minorHAnsi"/>
        </w:rPr>
      </w:pPr>
      <w:r w:rsidRPr="00CF4F63">
        <w:rPr>
          <w:rFonts w:cstheme="minorHAnsi"/>
        </w:rPr>
        <w:t xml:space="preserve">Each student enrolled will undertake a period of individualised induction where the student is supported through meetings with their </w:t>
      </w:r>
      <w:r w:rsidR="00E03C2D">
        <w:rPr>
          <w:rFonts w:cstheme="minorHAnsi"/>
        </w:rPr>
        <w:t>m</w:t>
      </w:r>
      <w:r w:rsidRPr="00CF4F63">
        <w:rPr>
          <w:rFonts w:cstheme="minorHAnsi"/>
        </w:rPr>
        <w:t>entor teacher. These meetings will orientate the student to the expectations of the school and for the school to better understand and cater for the individual learning needs of the student.</w:t>
      </w:r>
    </w:p>
    <w:p w14:paraId="7885358E" w14:textId="545108FE" w:rsidR="00CF4F63" w:rsidRPr="00CF4F63" w:rsidRDefault="00E03C2D" w:rsidP="00CF4F63">
      <w:pPr>
        <w:pStyle w:val="ListParagraph"/>
        <w:numPr>
          <w:ilvl w:val="0"/>
          <w:numId w:val="21"/>
        </w:numPr>
        <w:rPr>
          <w:rFonts w:cstheme="minorHAnsi"/>
        </w:rPr>
      </w:pPr>
      <w:r>
        <w:rPr>
          <w:rFonts w:cstheme="minorHAnsi"/>
        </w:rPr>
        <w:t xml:space="preserve">A </w:t>
      </w:r>
      <w:r w:rsidR="00CF4F63" w:rsidRPr="00CF4F63">
        <w:rPr>
          <w:rFonts w:cstheme="minorHAnsi"/>
        </w:rPr>
        <w:t xml:space="preserve">Student Support Group </w:t>
      </w:r>
      <w:r>
        <w:rPr>
          <w:rFonts w:cstheme="minorHAnsi"/>
        </w:rPr>
        <w:t>m</w:t>
      </w:r>
      <w:r w:rsidR="00CF4F63" w:rsidRPr="00CF4F63">
        <w:rPr>
          <w:rFonts w:cstheme="minorHAnsi"/>
        </w:rPr>
        <w:t xml:space="preserve">eeting is convened twice per term for all students; to share information, explore strategies and set goals for the young person’s education. </w:t>
      </w:r>
    </w:p>
    <w:p w14:paraId="7EF62656" w14:textId="38E32923" w:rsidR="00A83A0D" w:rsidRPr="00A83A0D" w:rsidRDefault="00CF4F63" w:rsidP="00C701F2">
      <w:pPr>
        <w:pStyle w:val="ListParagraph"/>
        <w:numPr>
          <w:ilvl w:val="0"/>
          <w:numId w:val="21"/>
        </w:numPr>
      </w:pPr>
      <w:r w:rsidRPr="00AB5A72">
        <w:rPr>
          <w:rFonts w:cstheme="minorHAnsi"/>
        </w:rPr>
        <w:t xml:space="preserve">Input from other professionals such as therapists, medical professionals, and support workers who are working with the young person is also sought both within the SSG and through </w:t>
      </w:r>
      <w:r w:rsidR="00E03C2D">
        <w:rPr>
          <w:rFonts w:cstheme="minorHAnsi"/>
        </w:rPr>
        <w:t>c</w:t>
      </w:r>
      <w:r w:rsidRPr="00AB5A72">
        <w:rPr>
          <w:rFonts w:cstheme="minorHAnsi"/>
        </w:rPr>
        <w:t xml:space="preserve">are </w:t>
      </w:r>
      <w:r w:rsidR="00E03C2D">
        <w:rPr>
          <w:rFonts w:cstheme="minorHAnsi"/>
        </w:rPr>
        <w:t>t</w:t>
      </w:r>
      <w:r w:rsidRPr="00AB5A72">
        <w:rPr>
          <w:rFonts w:cstheme="minorHAnsi"/>
        </w:rPr>
        <w:t xml:space="preserve">eam or </w:t>
      </w:r>
      <w:proofErr w:type="gramStart"/>
      <w:r w:rsidR="00E03C2D">
        <w:rPr>
          <w:rFonts w:cstheme="minorHAnsi"/>
        </w:rPr>
        <w:t>p</w:t>
      </w:r>
      <w:r w:rsidRPr="00AB5A72">
        <w:rPr>
          <w:rFonts w:cstheme="minorHAnsi"/>
        </w:rPr>
        <w:t>rofessionals</w:t>
      </w:r>
      <w:proofErr w:type="gramEnd"/>
      <w:r w:rsidRPr="00AB5A72">
        <w:rPr>
          <w:rFonts w:cstheme="minorHAnsi"/>
        </w:rPr>
        <w:t xml:space="preserve"> </w:t>
      </w:r>
      <w:r w:rsidR="00E03C2D">
        <w:rPr>
          <w:rFonts w:cstheme="minorHAnsi"/>
        </w:rPr>
        <w:t>m</w:t>
      </w:r>
      <w:r w:rsidRPr="00AB5A72">
        <w:rPr>
          <w:rFonts w:cstheme="minorHAnsi"/>
        </w:rPr>
        <w:t>eetings.</w:t>
      </w:r>
    </w:p>
    <w:p w14:paraId="1F84EEAC" w14:textId="3C791341" w:rsidR="00D737BE" w:rsidRDefault="00D737BE" w:rsidP="00BD1A0A">
      <w:pPr>
        <w:pStyle w:val="Heading1"/>
      </w:pPr>
      <w:r>
        <w:t>Communication</w:t>
      </w:r>
    </w:p>
    <w:p w14:paraId="068EDE16" w14:textId="67482D6B" w:rsidR="00D737BE" w:rsidRDefault="00BD1A0A" w:rsidP="0030529D">
      <w:r>
        <w:t xml:space="preserve">This policy will be communicated to our school community in the following ways: </w:t>
      </w:r>
    </w:p>
    <w:p w14:paraId="7E211BB4" w14:textId="27D58353" w:rsidR="0092517B" w:rsidRDefault="00BD1A0A" w:rsidP="004A0023">
      <w:pPr>
        <w:pStyle w:val="ListParagraph"/>
        <w:numPr>
          <w:ilvl w:val="0"/>
          <w:numId w:val="21"/>
        </w:numPr>
      </w:pPr>
      <w:r>
        <w:t>Made</w:t>
      </w:r>
      <w:r w:rsidR="00900258">
        <w:t xml:space="preserve"> publicly available on NEFLN’s website</w:t>
      </w:r>
      <w:r w:rsidR="004A0023">
        <w:t xml:space="preserve">: </w:t>
      </w:r>
      <w:hyperlink r:id="rId14" w:history="1">
        <w:r w:rsidR="0092517B" w:rsidRPr="0092517B">
          <w:rPr>
            <w:rStyle w:val="Hyperlink"/>
          </w:rPr>
          <w:t>Enrolment Process | NEFLN</w:t>
        </w:r>
      </w:hyperlink>
    </w:p>
    <w:p w14:paraId="4BE9E6D9" w14:textId="226BE87E" w:rsidR="00900258" w:rsidRDefault="00900258" w:rsidP="009B6B23">
      <w:pPr>
        <w:pStyle w:val="ListParagraph"/>
        <w:numPr>
          <w:ilvl w:val="0"/>
          <w:numId w:val="21"/>
        </w:numPr>
      </w:pPr>
      <w:r>
        <w:t xml:space="preserve">Made available in hard copy from each FLO campus </w:t>
      </w:r>
      <w:r w:rsidR="009B6B23">
        <w:t>upon request</w:t>
      </w:r>
    </w:p>
    <w:p w14:paraId="68D66359" w14:textId="083521E3" w:rsidR="0083037A" w:rsidRDefault="0083037A" w:rsidP="0083037A">
      <w:pPr>
        <w:pStyle w:val="Heading1"/>
      </w:pPr>
      <w:r>
        <w:t>Further information and resources</w:t>
      </w:r>
    </w:p>
    <w:p w14:paraId="1EB3C537" w14:textId="782E43D0" w:rsidR="0083037A" w:rsidRDefault="0083037A" w:rsidP="0083037A">
      <w:r>
        <w:t>This policy should be read alongside and in conjunction with the following Department of Education policies:</w:t>
      </w:r>
    </w:p>
    <w:p w14:paraId="09D74594" w14:textId="32A17276" w:rsidR="0083037A" w:rsidRDefault="00CA2B10" w:rsidP="00095C65">
      <w:pPr>
        <w:pStyle w:val="ListParagraph"/>
        <w:numPr>
          <w:ilvl w:val="0"/>
          <w:numId w:val="37"/>
        </w:numPr>
      </w:pPr>
      <w:hyperlink r:id="rId15" w:history="1">
        <w:r w:rsidR="00095C65" w:rsidRPr="00643BC1">
          <w:rPr>
            <w:rStyle w:val="Hyperlink"/>
          </w:rPr>
          <w:t>Enrolment</w:t>
        </w:r>
      </w:hyperlink>
    </w:p>
    <w:p w14:paraId="23C70282" w14:textId="0FCE85F7" w:rsidR="00095C65" w:rsidRDefault="00CA2B10" w:rsidP="00095C65">
      <w:pPr>
        <w:pStyle w:val="ListParagraph"/>
        <w:numPr>
          <w:ilvl w:val="0"/>
          <w:numId w:val="37"/>
        </w:numPr>
      </w:pPr>
      <w:hyperlink r:id="rId16" w:history="1">
        <w:r w:rsidR="00095C65" w:rsidRPr="00DA1567">
          <w:rPr>
            <w:rStyle w:val="Hyperlink"/>
          </w:rPr>
          <w:t>Exemption from School Attendance and Enrolment</w:t>
        </w:r>
      </w:hyperlink>
    </w:p>
    <w:p w14:paraId="44830621" w14:textId="120406D0" w:rsidR="00095C65" w:rsidRDefault="00CA2B10" w:rsidP="00095C65">
      <w:pPr>
        <w:pStyle w:val="ListParagraph"/>
        <w:numPr>
          <w:ilvl w:val="0"/>
          <w:numId w:val="37"/>
        </w:numPr>
      </w:pPr>
      <w:hyperlink r:id="rId17" w:history="1">
        <w:r w:rsidR="00095C65" w:rsidRPr="00DA1567">
          <w:rPr>
            <w:rStyle w:val="Hyperlink"/>
          </w:rPr>
          <w:t>Flexible Learning Options (FLOs)</w:t>
        </w:r>
      </w:hyperlink>
    </w:p>
    <w:p w14:paraId="5AAB931E" w14:textId="50FA2598" w:rsidR="005A1691" w:rsidRDefault="00CA2B10" w:rsidP="00095C65">
      <w:pPr>
        <w:pStyle w:val="ListParagraph"/>
        <w:numPr>
          <w:ilvl w:val="0"/>
          <w:numId w:val="37"/>
        </w:numPr>
      </w:pPr>
      <w:hyperlink r:id="rId18" w:history="1">
        <w:r w:rsidR="005A1691" w:rsidRPr="00A66DBF">
          <w:rPr>
            <w:rStyle w:val="Hyperlink"/>
          </w:rPr>
          <w:t>School</w:t>
        </w:r>
        <w:r w:rsidR="00A66DBF" w:rsidRPr="00A66DBF">
          <w:rPr>
            <w:rStyle w:val="Hyperlink"/>
          </w:rPr>
          <w:t>s’ privacy policy</w:t>
        </w:r>
      </w:hyperlink>
    </w:p>
    <w:p w14:paraId="6A0418AC" w14:textId="5E6DBBEA" w:rsidR="00A66DBF" w:rsidRDefault="00A66DBF" w:rsidP="00A66DBF">
      <w:pPr>
        <w:pStyle w:val="Heading1"/>
      </w:pPr>
      <w:r>
        <w:t>Policy Review and Approval</w:t>
      </w:r>
      <w:r>
        <w:tab/>
      </w:r>
    </w:p>
    <w:tbl>
      <w:tblPr>
        <w:tblStyle w:val="TableGridLight"/>
        <w:tblW w:w="0" w:type="auto"/>
        <w:tblLook w:val="04A0" w:firstRow="1" w:lastRow="0" w:firstColumn="1" w:lastColumn="0" w:noHBand="0" w:noVBand="1"/>
      </w:tblPr>
      <w:tblGrid>
        <w:gridCol w:w="3114"/>
        <w:gridCol w:w="6508"/>
      </w:tblGrid>
      <w:tr w:rsidR="00A66DBF" w14:paraId="1A096DC1" w14:textId="77777777" w:rsidTr="00190083">
        <w:tc>
          <w:tcPr>
            <w:tcW w:w="3114" w:type="dxa"/>
          </w:tcPr>
          <w:p w14:paraId="4C526C6B" w14:textId="2B6E100B" w:rsidR="00A66DBF" w:rsidRDefault="00190083" w:rsidP="00190083">
            <w:pPr>
              <w:spacing w:before="0" w:after="0"/>
            </w:pPr>
            <w:r>
              <w:t>Policy last reviewed</w:t>
            </w:r>
          </w:p>
        </w:tc>
        <w:tc>
          <w:tcPr>
            <w:tcW w:w="6508" w:type="dxa"/>
          </w:tcPr>
          <w:p w14:paraId="11162801" w14:textId="5C144352" w:rsidR="00A66DBF" w:rsidRDefault="00E03C2D" w:rsidP="00190083">
            <w:pPr>
              <w:spacing w:before="0" w:after="0"/>
            </w:pPr>
            <w:r>
              <w:t>April</w:t>
            </w:r>
            <w:r w:rsidR="00B16008">
              <w:t xml:space="preserve"> 2025</w:t>
            </w:r>
          </w:p>
        </w:tc>
      </w:tr>
      <w:tr w:rsidR="00A66DBF" w14:paraId="7166ED09" w14:textId="77777777" w:rsidTr="00190083">
        <w:tc>
          <w:tcPr>
            <w:tcW w:w="3114" w:type="dxa"/>
          </w:tcPr>
          <w:p w14:paraId="76C45236" w14:textId="33E5C6BA" w:rsidR="00A66DBF" w:rsidRDefault="00190083" w:rsidP="00190083">
            <w:pPr>
              <w:spacing w:before="0" w:after="0"/>
            </w:pPr>
            <w:r>
              <w:t>Approved by</w:t>
            </w:r>
          </w:p>
        </w:tc>
        <w:tc>
          <w:tcPr>
            <w:tcW w:w="6508" w:type="dxa"/>
          </w:tcPr>
          <w:p w14:paraId="6492DE4C" w14:textId="77777777" w:rsidR="00A66DBF" w:rsidRDefault="00A66DBF" w:rsidP="00190083">
            <w:pPr>
              <w:spacing w:before="0" w:after="0"/>
            </w:pPr>
          </w:p>
        </w:tc>
      </w:tr>
      <w:tr w:rsidR="00A66DBF" w14:paraId="70D85E8A" w14:textId="77777777" w:rsidTr="00190083">
        <w:tc>
          <w:tcPr>
            <w:tcW w:w="3114" w:type="dxa"/>
          </w:tcPr>
          <w:p w14:paraId="14A073E6" w14:textId="7B7A70C6" w:rsidR="00A66DBF" w:rsidRDefault="00190083" w:rsidP="00190083">
            <w:pPr>
              <w:spacing w:before="0" w:after="0"/>
            </w:pPr>
            <w:r>
              <w:t>Next scheduled review date</w:t>
            </w:r>
          </w:p>
        </w:tc>
        <w:tc>
          <w:tcPr>
            <w:tcW w:w="6508" w:type="dxa"/>
          </w:tcPr>
          <w:p w14:paraId="6A8AFB52" w14:textId="77777777" w:rsidR="00A66DBF" w:rsidRDefault="00A66DBF" w:rsidP="00190083">
            <w:pPr>
              <w:spacing w:before="0" w:after="0"/>
            </w:pPr>
          </w:p>
        </w:tc>
      </w:tr>
    </w:tbl>
    <w:p w14:paraId="447032AF" w14:textId="77777777" w:rsidR="00A66DBF" w:rsidRPr="00A66DBF" w:rsidRDefault="00A66DBF" w:rsidP="00A66DBF"/>
    <w:sectPr w:rsidR="00A66DBF" w:rsidRPr="00A66DBF" w:rsidSect="001F4B78">
      <w:headerReference w:type="default" r:id="rId19"/>
      <w:footerReference w:type="default" r:id="rId20"/>
      <w:pgSz w:w="11900" w:h="16840"/>
      <w:pgMar w:top="1885" w:right="1134" w:bottom="1701" w:left="1134" w:header="227"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BD36" w14:textId="77777777" w:rsidR="00C9609D" w:rsidRDefault="00C9609D" w:rsidP="00B40CCD">
      <w:r>
        <w:separator/>
      </w:r>
    </w:p>
  </w:endnote>
  <w:endnote w:type="continuationSeparator" w:id="0">
    <w:p w14:paraId="1D015043" w14:textId="77777777" w:rsidR="00C9609D" w:rsidRDefault="00C9609D"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261309"/>
      <w:docPartObj>
        <w:docPartGallery w:val="Page Numbers (Bottom of Page)"/>
        <w:docPartUnique/>
      </w:docPartObj>
    </w:sdtPr>
    <w:sdtEndPr/>
    <w:sdtContent>
      <w:sdt>
        <w:sdtPr>
          <w:id w:val="-1769616900"/>
          <w:docPartObj>
            <w:docPartGallery w:val="Page Numbers (Top of Page)"/>
            <w:docPartUnique/>
          </w:docPartObj>
        </w:sdtPr>
        <w:sdtEndPr/>
        <w:sdtContent>
          <w:p w14:paraId="07048635" w14:textId="6757B222" w:rsidR="00B41872" w:rsidRDefault="00B418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BF5D3A" w14:textId="77777777" w:rsidR="00B41872" w:rsidRDefault="00B4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FE2B" w14:textId="77777777" w:rsidR="00C9609D" w:rsidRDefault="00C9609D" w:rsidP="00B40CCD">
      <w:r>
        <w:separator/>
      </w:r>
    </w:p>
  </w:footnote>
  <w:footnote w:type="continuationSeparator" w:id="0">
    <w:p w14:paraId="309B9B61" w14:textId="77777777" w:rsidR="00C9609D" w:rsidRDefault="00C9609D"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E537" w14:textId="282F8CD8" w:rsidR="0011005D" w:rsidRDefault="007C5778" w:rsidP="00B40CCD">
    <w:pPr>
      <w:pStyle w:val="Header"/>
    </w:pPr>
    <w:r>
      <w:rPr>
        <w:rFonts w:ascii="Palatino Linotype"/>
        <w:noProof/>
      </w:rPr>
      <w:drawing>
        <wp:anchor distT="0" distB="0" distL="114300" distR="114300" simplePos="0" relativeHeight="251657728" behindDoc="0" locked="0" layoutInCell="1" allowOverlap="1" wp14:anchorId="3E3C3799" wp14:editId="5A1705D8">
          <wp:simplePos x="0" y="0"/>
          <wp:positionH relativeFrom="column">
            <wp:posOffset>-596265</wp:posOffset>
          </wp:positionH>
          <wp:positionV relativeFrom="paragraph">
            <wp:posOffset>141605</wp:posOffset>
          </wp:positionV>
          <wp:extent cx="2085975" cy="666750"/>
          <wp:effectExtent l="0" t="0" r="9525" b="0"/>
          <wp:wrapNone/>
          <wp:docPr id="204" name="Picture 204" descr="A group of colorful circles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Picture 204" descr="A group of colorful circles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666750"/>
                  </a:xfrm>
                  <a:prstGeom prst="rect">
                    <a:avLst/>
                  </a:prstGeom>
                </pic:spPr>
              </pic:pic>
            </a:graphicData>
          </a:graphic>
          <wp14:sizeRelH relativeFrom="page">
            <wp14:pctWidth>0</wp14:pctWidth>
          </wp14:sizeRelH>
          <wp14:sizeRelV relativeFrom="page">
            <wp14:pctHeight>0</wp14:pctHeight>
          </wp14:sizeRelV>
        </wp:anchor>
      </w:drawing>
    </w:r>
    <w:r w:rsidR="0011005D">
      <w:rPr>
        <w:noProof/>
      </w:rPr>
      <w:drawing>
        <wp:anchor distT="0" distB="0" distL="114300" distR="114300" simplePos="0" relativeHeight="251656704" behindDoc="1" locked="0" layoutInCell="1" allowOverlap="1" wp14:anchorId="288EA639" wp14:editId="10458CE2">
          <wp:simplePos x="0" y="0"/>
          <wp:positionH relativeFrom="column">
            <wp:posOffset>-720090</wp:posOffset>
          </wp:positionH>
          <wp:positionV relativeFrom="paragraph">
            <wp:posOffset>-129906</wp:posOffset>
          </wp:positionV>
          <wp:extent cx="7556491" cy="609599"/>
          <wp:effectExtent l="0" t="0" r="0" b="635"/>
          <wp:wrapNone/>
          <wp:docPr id="11982998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9A29CC"/>
    <w:multiLevelType w:val="hybridMultilevel"/>
    <w:tmpl w:val="F7BA33C4"/>
    <w:lvl w:ilvl="0" w:tplc="1B003FA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900EB"/>
    <w:multiLevelType w:val="hybridMultilevel"/>
    <w:tmpl w:val="CBE46BDA"/>
    <w:lvl w:ilvl="0" w:tplc="1B003FA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E752E9F"/>
    <w:multiLevelType w:val="hybridMultilevel"/>
    <w:tmpl w:val="7416C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E653CB"/>
    <w:multiLevelType w:val="hybridMultilevel"/>
    <w:tmpl w:val="9CD07C2A"/>
    <w:lvl w:ilvl="0" w:tplc="1B003FA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187A79"/>
    <w:multiLevelType w:val="hybridMultilevel"/>
    <w:tmpl w:val="495CC42A"/>
    <w:lvl w:ilvl="0" w:tplc="1B003FA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53D55"/>
    <w:multiLevelType w:val="multilevel"/>
    <w:tmpl w:val="615E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64D6D"/>
    <w:multiLevelType w:val="hybridMultilevel"/>
    <w:tmpl w:val="176022D8"/>
    <w:lvl w:ilvl="0" w:tplc="1B003FA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EB209E"/>
    <w:multiLevelType w:val="hybridMultilevel"/>
    <w:tmpl w:val="7DF8F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3"/>
  </w:num>
  <w:num w:numId="15">
    <w:abstractNumId w:val="16"/>
  </w:num>
  <w:num w:numId="16">
    <w:abstractNumId w:val="16"/>
    <w:lvlOverride w:ilvl="0">
      <w:startOverride w:val="1"/>
    </w:lvlOverride>
  </w:num>
  <w:num w:numId="17">
    <w:abstractNumId w:val="18"/>
  </w:num>
  <w:num w:numId="18">
    <w:abstractNumId w:val="15"/>
  </w:num>
  <w:num w:numId="19">
    <w:abstractNumId w:val="13"/>
  </w:num>
  <w:num w:numId="20">
    <w:abstractNumId w:val="11"/>
  </w:num>
  <w:num w:numId="21">
    <w:abstractNumId w:val="26"/>
  </w:num>
  <w:num w:numId="2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2"/>
  </w:num>
  <w:num w:numId="33">
    <w:abstractNumId w:val="25"/>
  </w:num>
  <w:num w:numId="34">
    <w:abstractNumId w:val="14"/>
  </w:num>
  <w:num w:numId="35">
    <w:abstractNumId w:val="20"/>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102FD"/>
    <w:rsid w:val="00010489"/>
    <w:rsid w:val="00013339"/>
    <w:rsid w:val="000136A4"/>
    <w:rsid w:val="00024A82"/>
    <w:rsid w:val="000433F6"/>
    <w:rsid w:val="00065195"/>
    <w:rsid w:val="00066F68"/>
    <w:rsid w:val="0006773D"/>
    <w:rsid w:val="00086F67"/>
    <w:rsid w:val="0009592E"/>
    <w:rsid w:val="00095C65"/>
    <w:rsid w:val="000A47D4"/>
    <w:rsid w:val="000B7C73"/>
    <w:rsid w:val="000D31F6"/>
    <w:rsid w:val="000D5CF8"/>
    <w:rsid w:val="000E0C6E"/>
    <w:rsid w:val="001026CC"/>
    <w:rsid w:val="0011005D"/>
    <w:rsid w:val="00116376"/>
    <w:rsid w:val="0012067C"/>
    <w:rsid w:val="00122369"/>
    <w:rsid w:val="00124D09"/>
    <w:rsid w:val="00133D09"/>
    <w:rsid w:val="00135F9A"/>
    <w:rsid w:val="0014170F"/>
    <w:rsid w:val="00141F23"/>
    <w:rsid w:val="00142D82"/>
    <w:rsid w:val="00144FD5"/>
    <w:rsid w:val="001460B0"/>
    <w:rsid w:val="00155B30"/>
    <w:rsid w:val="00190083"/>
    <w:rsid w:val="00196FEF"/>
    <w:rsid w:val="001B236C"/>
    <w:rsid w:val="001E1EF8"/>
    <w:rsid w:val="001F4B78"/>
    <w:rsid w:val="00207499"/>
    <w:rsid w:val="002130A1"/>
    <w:rsid w:val="00214BAC"/>
    <w:rsid w:val="002221B3"/>
    <w:rsid w:val="002259D4"/>
    <w:rsid w:val="00232BBD"/>
    <w:rsid w:val="00240F30"/>
    <w:rsid w:val="002415FC"/>
    <w:rsid w:val="00251688"/>
    <w:rsid w:val="00260B16"/>
    <w:rsid w:val="0026384B"/>
    <w:rsid w:val="00281191"/>
    <w:rsid w:val="00282DF8"/>
    <w:rsid w:val="00296F61"/>
    <w:rsid w:val="002970D9"/>
    <w:rsid w:val="002A4A96"/>
    <w:rsid w:val="002A7261"/>
    <w:rsid w:val="002B6163"/>
    <w:rsid w:val="002D6215"/>
    <w:rsid w:val="002E1DD1"/>
    <w:rsid w:val="002E3BED"/>
    <w:rsid w:val="002F641D"/>
    <w:rsid w:val="00302A4D"/>
    <w:rsid w:val="0030528B"/>
    <w:rsid w:val="0030529D"/>
    <w:rsid w:val="00312720"/>
    <w:rsid w:val="0032203E"/>
    <w:rsid w:val="00323DD1"/>
    <w:rsid w:val="00326E53"/>
    <w:rsid w:val="00327E07"/>
    <w:rsid w:val="0033070E"/>
    <w:rsid w:val="00332902"/>
    <w:rsid w:val="00336355"/>
    <w:rsid w:val="00341355"/>
    <w:rsid w:val="00343D7F"/>
    <w:rsid w:val="00345D4A"/>
    <w:rsid w:val="003507F4"/>
    <w:rsid w:val="0037192A"/>
    <w:rsid w:val="003967DD"/>
    <w:rsid w:val="003A5BCE"/>
    <w:rsid w:val="003B00F5"/>
    <w:rsid w:val="003B2E0A"/>
    <w:rsid w:val="003C0374"/>
    <w:rsid w:val="003C0A6C"/>
    <w:rsid w:val="003C3186"/>
    <w:rsid w:val="003C3FB4"/>
    <w:rsid w:val="003E6C06"/>
    <w:rsid w:val="003F044E"/>
    <w:rsid w:val="003F5764"/>
    <w:rsid w:val="003F67F1"/>
    <w:rsid w:val="00421DB2"/>
    <w:rsid w:val="0043727E"/>
    <w:rsid w:val="00444189"/>
    <w:rsid w:val="0045446B"/>
    <w:rsid w:val="0045473E"/>
    <w:rsid w:val="0045687D"/>
    <w:rsid w:val="004618EF"/>
    <w:rsid w:val="0047423F"/>
    <w:rsid w:val="004947BC"/>
    <w:rsid w:val="004A0023"/>
    <w:rsid w:val="004B078F"/>
    <w:rsid w:val="004B30E2"/>
    <w:rsid w:val="004B5068"/>
    <w:rsid w:val="004C2C23"/>
    <w:rsid w:val="004C7B8A"/>
    <w:rsid w:val="00507148"/>
    <w:rsid w:val="0052476B"/>
    <w:rsid w:val="005578DE"/>
    <w:rsid w:val="00560C07"/>
    <w:rsid w:val="00584366"/>
    <w:rsid w:val="00594F80"/>
    <w:rsid w:val="005A1691"/>
    <w:rsid w:val="005B4060"/>
    <w:rsid w:val="005B4AF7"/>
    <w:rsid w:val="005B726D"/>
    <w:rsid w:val="005C62E8"/>
    <w:rsid w:val="005E45F0"/>
    <w:rsid w:val="005F33DB"/>
    <w:rsid w:val="005F73A5"/>
    <w:rsid w:val="00621FA6"/>
    <w:rsid w:val="00624A55"/>
    <w:rsid w:val="0063067B"/>
    <w:rsid w:val="00635C65"/>
    <w:rsid w:val="00642AA8"/>
    <w:rsid w:val="00643BC1"/>
    <w:rsid w:val="006621B2"/>
    <w:rsid w:val="00691AED"/>
    <w:rsid w:val="006A25AC"/>
    <w:rsid w:val="006C0844"/>
    <w:rsid w:val="006C68CF"/>
    <w:rsid w:val="006E078F"/>
    <w:rsid w:val="006E22FF"/>
    <w:rsid w:val="006E432E"/>
    <w:rsid w:val="006F1BEE"/>
    <w:rsid w:val="006F44D8"/>
    <w:rsid w:val="00707C95"/>
    <w:rsid w:val="00712425"/>
    <w:rsid w:val="00714D72"/>
    <w:rsid w:val="00730817"/>
    <w:rsid w:val="00736FB0"/>
    <w:rsid w:val="00744E46"/>
    <w:rsid w:val="00763DDE"/>
    <w:rsid w:val="0076547C"/>
    <w:rsid w:val="0079627F"/>
    <w:rsid w:val="007A2820"/>
    <w:rsid w:val="007A3988"/>
    <w:rsid w:val="007B3A5A"/>
    <w:rsid w:val="007B556E"/>
    <w:rsid w:val="007B5834"/>
    <w:rsid w:val="007C5778"/>
    <w:rsid w:val="007C69AF"/>
    <w:rsid w:val="007D1FB1"/>
    <w:rsid w:val="007D3E38"/>
    <w:rsid w:val="007F02BA"/>
    <w:rsid w:val="00800CAE"/>
    <w:rsid w:val="008119C8"/>
    <w:rsid w:val="0082590F"/>
    <w:rsid w:val="0083037A"/>
    <w:rsid w:val="00834B90"/>
    <w:rsid w:val="00841434"/>
    <w:rsid w:val="00863656"/>
    <w:rsid w:val="00884385"/>
    <w:rsid w:val="00884D55"/>
    <w:rsid w:val="00886574"/>
    <w:rsid w:val="00894EEB"/>
    <w:rsid w:val="00897FEE"/>
    <w:rsid w:val="008B36BC"/>
    <w:rsid w:val="008B5C45"/>
    <w:rsid w:val="008C0A51"/>
    <w:rsid w:val="008C6C2E"/>
    <w:rsid w:val="008C78AF"/>
    <w:rsid w:val="008D0A61"/>
    <w:rsid w:val="008E08AB"/>
    <w:rsid w:val="008E21CC"/>
    <w:rsid w:val="008F0EEE"/>
    <w:rsid w:val="008F244E"/>
    <w:rsid w:val="008F494F"/>
    <w:rsid w:val="00900258"/>
    <w:rsid w:val="00914DE8"/>
    <w:rsid w:val="0092517B"/>
    <w:rsid w:val="00927AAA"/>
    <w:rsid w:val="009403CA"/>
    <w:rsid w:val="00941480"/>
    <w:rsid w:val="00950BED"/>
    <w:rsid w:val="00960B21"/>
    <w:rsid w:val="00973EE6"/>
    <w:rsid w:val="009A56A3"/>
    <w:rsid w:val="009A7C8E"/>
    <w:rsid w:val="009B6B23"/>
    <w:rsid w:val="009C5945"/>
    <w:rsid w:val="009D4957"/>
    <w:rsid w:val="009E27AA"/>
    <w:rsid w:val="009E6068"/>
    <w:rsid w:val="009F05CF"/>
    <w:rsid w:val="009F4D23"/>
    <w:rsid w:val="00A045D2"/>
    <w:rsid w:val="00A14ACF"/>
    <w:rsid w:val="00A20F86"/>
    <w:rsid w:val="00A31926"/>
    <w:rsid w:val="00A36672"/>
    <w:rsid w:val="00A40575"/>
    <w:rsid w:val="00A40B99"/>
    <w:rsid w:val="00A4368A"/>
    <w:rsid w:val="00A54F53"/>
    <w:rsid w:val="00A63D55"/>
    <w:rsid w:val="00A648C2"/>
    <w:rsid w:val="00A66DBF"/>
    <w:rsid w:val="00A71967"/>
    <w:rsid w:val="00A724F4"/>
    <w:rsid w:val="00A83A0D"/>
    <w:rsid w:val="00AA76C6"/>
    <w:rsid w:val="00AB5A72"/>
    <w:rsid w:val="00AC311C"/>
    <w:rsid w:val="00AC674A"/>
    <w:rsid w:val="00AD5C9B"/>
    <w:rsid w:val="00AE6D8A"/>
    <w:rsid w:val="00AE6E92"/>
    <w:rsid w:val="00AF0ED2"/>
    <w:rsid w:val="00AF3CFA"/>
    <w:rsid w:val="00B04CD2"/>
    <w:rsid w:val="00B1223E"/>
    <w:rsid w:val="00B14C5C"/>
    <w:rsid w:val="00B16008"/>
    <w:rsid w:val="00B211E6"/>
    <w:rsid w:val="00B40CCD"/>
    <w:rsid w:val="00B41872"/>
    <w:rsid w:val="00B54669"/>
    <w:rsid w:val="00B616EE"/>
    <w:rsid w:val="00B91B60"/>
    <w:rsid w:val="00BA3EF0"/>
    <w:rsid w:val="00BA4DAA"/>
    <w:rsid w:val="00BB0753"/>
    <w:rsid w:val="00BB0ABF"/>
    <w:rsid w:val="00BB2E55"/>
    <w:rsid w:val="00BB3F0A"/>
    <w:rsid w:val="00BB5707"/>
    <w:rsid w:val="00BB73DC"/>
    <w:rsid w:val="00BB7E9F"/>
    <w:rsid w:val="00BD1A0A"/>
    <w:rsid w:val="00BE63CA"/>
    <w:rsid w:val="00BF05FD"/>
    <w:rsid w:val="00BF5EA8"/>
    <w:rsid w:val="00C05F1E"/>
    <w:rsid w:val="00C22C62"/>
    <w:rsid w:val="00C65E3B"/>
    <w:rsid w:val="00C739EF"/>
    <w:rsid w:val="00C74D01"/>
    <w:rsid w:val="00C82988"/>
    <w:rsid w:val="00C93A30"/>
    <w:rsid w:val="00C9609D"/>
    <w:rsid w:val="00CA2B10"/>
    <w:rsid w:val="00CA46FA"/>
    <w:rsid w:val="00CC1823"/>
    <w:rsid w:val="00CC5997"/>
    <w:rsid w:val="00CD0C81"/>
    <w:rsid w:val="00CD28B1"/>
    <w:rsid w:val="00CF4F63"/>
    <w:rsid w:val="00D013E1"/>
    <w:rsid w:val="00D147B2"/>
    <w:rsid w:val="00D15891"/>
    <w:rsid w:val="00D20580"/>
    <w:rsid w:val="00D27D70"/>
    <w:rsid w:val="00D33851"/>
    <w:rsid w:val="00D33AB2"/>
    <w:rsid w:val="00D417BE"/>
    <w:rsid w:val="00D52831"/>
    <w:rsid w:val="00D576A1"/>
    <w:rsid w:val="00D66DCF"/>
    <w:rsid w:val="00D673EB"/>
    <w:rsid w:val="00D737BE"/>
    <w:rsid w:val="00D84718"/>
    <w:rsid w:val="00D92D95"/>
    <w:rsid w:val="00D9332A"/>
    <w:rsid w:val="00DA1567"/>
    <w:rsid w:val="00DA1D8E"/>
    <w:rsid w:val="00DA2C68"/>
    <w:rsid w:val="00DA3218"/>
    <w:rsid w:val="00DA5F30"/>
    <w:rsid w:val="00DA615F"/>
    <w:rsid w:val="00DB0163"/>
    <w:rsid w:val="00DC55F3"/>
    <w:rsid w:val="00DD6130"/>
    <w:rsid w:val="00DE156F"/>
    <w:rsid w:val="00DF3442"/>
    <w:rsid w:val="00DF43D2"/>
    <w:rsid w:val="00DF4977"/>
    <w:rsid w:val="00DF7020"/>
    <w:rsid w:val="00E03C2D"/>
    <w:rsid w:val="00E10048"/>
    <w:rsid w:val="00E401B6"/>
    <w:rsid w:val="00E5453C"/>
    <w:rsid w:val="00E5544C"/>
    <w:rsid w:val="00E60C0D"/>
    <w:rsid w:val="00E76670"/>
    <w:rsid w:val="00E8052D"/>
    <w:rsid w:val="00E905D7"/>
    <w:rsid w:val="00E9324D"/>
    <w:rsid w:val="00E97660"/>
    <w:rsid w:val="00EA2FCB"/>
    <w:rsid w:val="00EA3421"/>
    <w:rsid w:val="00EB027C"/>
    <w:rsid w:val="00EB0B20"/>
    <w:rsid w:val="00EB62CF"/>
    <w:rsid w:val="00EC32CB"/>
    <w:rsid w:val="00EC6AEA"/>
    <w:rsid w:val="00EF2CDA"/>
    <w:rsid w:val="00F040AF"/>
    <w:rsid w:val="00F054A9"/>
    <w:rsid w:val="00F122D1"/>
    <w:rsid w:val="00F27CE9"/>
    <w:rsid w:val="00F814AE"/>
    <w:rsid w:val="00F85B83"/>
    <w:rsid w:val="00FC2588"/>
    <w:rsid w:val="00FC6ED9"/>
    <w:rsid w:val="00FE23A7"/>
    <w:rsid w:val="00FE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ListParagraph">
    <w:name w:val="List Paragraph"/>
    <w:basedOn w:val="Normal"/>
    <w:uiPriority w:val="34"/>
    <w:qFormat/>
    <w:rsid w:val="00302A4D"/>
    <w:pPr>
      <w:ind w:left="720"/>
      <w:contextualSpacing/>
    </w:pPr>
  </w:style>
  <w:style w:type="table" w:styleId="TableGridLight">
    <w:name w:val="Grid Table Light"/>
    <w:basedOn w:val="TableNormal"/>
    <w:uiPriority w:val="40"/>
    <w:rsid w:val="001900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840566">
      <w:bodyDiv w:val="1"/>
      <w:marLeft w:val="0"/>
      <w:marRight w:val="0"/>
      <w:marTop w:val="0"/>
      <w:marBottom w:val="0"/>
      <w:divBdr>
        <w:top w:val="none" w:sz="0" w:space="0" w:color="auto"/>
        <w:left w:val="none" w:sz="0" w:space="0" w:color="auto"/>
        <w:bottom w:val="none" w:sz="0" w:space="0" w:color="auto"/>
        <w:right w:val="none" w:sz="0" w:space="0" w:color="auto"/>
      </w:divBdr>
    </w:div>
    <w:div w:id="150039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flexible-learning-options/guidance" TargetMode="External"/><Relationship Id="rId18" Type="http://schemas.openxmlformats.org/officeDocument/2006/relationships/hyperlink" Target="https://www.vic.gov.au/schools-privacy-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ad.hearn@wssc.vic.edu.au" TargetMode="External"/><Relationship Id="rId17" Type="http://schemas.openxmlformats.org/officeDocument/2006/relationships/hyperlink" Target="https://www2.education.vic.gov.au/pal/flexible-learning-options/policy" TargetMode="External"/><Relationship Id="rId2" Type="http://schemas.openxmlformats.org/officeDocument/2006/relationships/customXml" Target="../customXml/item2.xml"/><Relationship Id="rId16" Type="http://schemas.openxmlformats.org/officeDocument/2006/relationships/hyperlink" Target="https://www2.education.vic.gov.au/pal/exemption-school-attendance-and-enrolment/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2.education.vic.gov.au/pal/enrolment/polic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fln.vic.edu.au/enrolment-proc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E0001FE23584588F12B6332396693" ma:contentTypeVersion="8" ma:contentTypeDescription="Create a new document." ma:contentTypeScope="" ma:versionID="e6e70b08e8c2eb7866a556eaaf98c131">
  <xsd:schema xmlns:xsd="http://www.w3.org/2001/XMLSchema" xmlns:xs="http://www.w3.org/2001/XMLSchema" xmlns:p="http://schemas.microsoft.com/office/2006/metadata/properties" xmlns:ns2="ba90887e-18a4-4169-b4ef-f6bdd6ee4abf" xmlns:ns3="edcd65fe-360a-4468-9502-3770e4150804" targetNamespace="http://schemas.microsoft.com/office/2006/metadata/properties" ma:root="true" ma:fieldsID="73efd5b411e93faed4c10a8ece98da22" ns2:_="" ns3:_="">
    <xsd:import namespace="ba90887e-18a4-4169-b4ef-f6bdd6ee4abf"/>
    <xsd:import namespace="edcd65fe-360a-4468-9502-3770e4150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0887e-18a4-4169-b4ef-f6bdd6ee4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d65fe-360a-4468-9502-3770e41508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442AA46A-36F3-4056-9C16-A0873429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0887e-18a4-4169-b4ef-f6bdd6ee4abf"/>
    <ds:schemaRef ds:uri="edcd65fe-360a-4468-9502-3770e41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Bradley Hearn</cp:lastModifiedBy>
  <cp:revision>2</cp:revision>
  <cp:lastPrinted>2025-02-12T00:03:00Z</cp:lastPrinted>
  <dcterms:created xsi:type="dcterms:W3CDTF">2025-07-01T01:25:00Z</dcterms:created>
  <dcterms:modified xsi:type="dcterms:W3CDTF">2025-07-01T01:25:00Z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0x010100BFDE0001FE23584588F12B6332396693</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ies>
</file>